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93EA4">
      <w:pPr>
        <w:spacing w:line="300" w:lineRule="exact"/>
        <w:rPr>
          <w:rFonts w:ascii="Times New Roman" w:hAnsi="Times New Roman" w:eastAsia="黑体" w:cs="Times New Roman"/>
          <w:sz w:val="32"/>
          <w:szCs w:val="32"/>
        </w:rPr>
      </w:pPr>
    </w:p>
    <w:p w14:paraId="3344D5BF">
      <w:pPr>
        <w:spacing w:line="300" w:lineRule="exact"/>
        <w:rPr>
          <w:rFonts w:ascii="Times New Roman" w:hAnsi="Times New Roman" w:eastAsia="黑体" w:cs="Times New Roman"/>
          <w:sz w:val="32"/>
          <w:szCs w:val="32"/>
        </w:rPr>
      </w:pPr>
      <w:r>
        <w:rPr>
          <w:rFonts w:ascii="Times New Roman" w:hAnsi="Times New Roman" w:eastAsia="黑体" w:cs="Times New Roman"/>
          <w:sz w:val="32"/>
          <w:szCs w:val="32"/>
        </w:rPr>
        <w:t>附件3</w:t>
      </w:r>
    </w:p>
    <w:p w14:paraId="72C8D4C1">
      <w:pPr>
        <w:pStyle w:val="2"/>
        <w:rPr>
          <w:rFonts w:ascii="Times New Roman" w:hAnsi="Times New Roman" w:eastAsia="仿宋_GB2312" w:cs="Times New Roman"/>
          <w:color w:val="000000"/>
          <w:kern w:val="0"/>
          <w:sz w:val="32"/>
          <w:szCs w:val="32"/>
          <w:lang w:bidi="ar"/>
        </w:rPr>
      </w:pPr>
    </w:p>
    <w:p w14:paraId="1D96DE2F">
      <w:pPr>
        <w:rPr>
          <w:rFonts w:ascii="Times New Roman" w:hAnsi="Times New Roman" w:cs="Times New Roman"/>
        </w:rPr>
      </w:pPr>
    </w:p>
    <w:p w14:paraId="3FD68478">
      <w:pPr>
        <w:widowControl/>
        <w:jc w:val="center"/>
        <w:rPr>
          <w:rFonts w:ascii="Times New Roman" w:hAnsi="Times New Roman" w:eastAsia="黑体" w:cs="Times New Roman"/>
          <w:color w:val="000000"/>
          <w:kern w:val="0"/>
          <w:sz w:val="41"/>
          <w:szCs w:val="41"/>
          <w:lang w:bidi="ar"/>
        </w:rPr>
      </w:pPr>
      <w:r>
        <w:rPr>
          <w:rFonts w:ascii="Times New Roman" w:hAnsi="Times New Roman" w:eastAsia="黑体" w:cs="Times New Roman"/>
          <w:color w:val="000000"/>
          <w:kern w:val="0"/>
          <w:sz w:val="41"/>
          <w:szCs w:val="41"/>
          <w:lang w:bidi="ar"/>
        </w:rPr>
        <w:t>项目支出绩效评价报告</w:t>
      </w:r>
    </w:p>
    <w:p w14:paraId="23A4CFCE">
      <w:pPr>
        <w:pStyle w:val="2"/>
        <w:jc w:val="center"/>
        <w:rPr>
          <w:rFonts w:ascii="Times New Roman" w:hAnsi="Times New Roman" w:cs="Times New Roman"/>
          <w:sz w:val="32"/>
          <w:szCs w:val="32"/>
        </w:rPr>
      </w:pPr>
      <w:r>
        <w:rPr>
          <w:rFonts w:ascii="Times New Roman" w:hAnsi="Times New Roman" w:cs="Times New Roman"/>
          <w:color w:val="000000"/>
          <w:kern w:val="0"/>
          <w:sz w:val="32"/>
          <w:szCs w:val="32"/>
          <w:lang w:bidi="ar"/>
        </w:rPr>
        <w:t>（2019年度）</w:t>
      </w:r>
    </w:p>
    <w:p w14:paraId="0D1FD0BC">
      <w:pPr>
        <w:widowControl/>
        <w:jc w:val="left"/>
        <w:rPr>
          <w:rFonts w:ascii="Times New Roman" w:hAnsi="Times New Roman" w:eastAsia="黑体" w:cs="Times New Roman"/>
          <w:color w:val="000000"/>
          <w:kern w:val="0"/>
          <w:sz w:val="36"/>
          <w:szCs w:val="36"/>
          <w:lang w:bidi="ar"/>
        </w:rPr>
      </w:pPr>
    </w:p>
    <w:p w14:paraId="18978402">
      <w:pPr>
        <w:widowControl/>
        <w:jc w:val="left"/>
        <w:rPr>
          <w:rFonts w:ascii="Times New Roman" w:hAnsi="Times New Roman" w:eastAsia="黑体" w:cs="Times New Roman"/>
          <w:color w:val="000000"/>
          <w:kern w:val="0"/>
          <w:sz w:val="36"/>
          <w:szCs w:val="36"/>
          <w:lang w:bidi="ar"/>
        </w:rPr>
      </w:pPr>
    </w:p>
    <w:p w14:paraId="07AFEDB0">
      <w:pPr>
        <w:widowControl/>
        <w:jc w:val="left"/>
        <w:rPr>
          <w:rFonts w:ascii="Times New Roman" w:hAnsi="Times New Roman" w:eastAsia="黑体" w:cs="Times New Roman"/>
          <w:color w:val="000000"/>
          <w:kern w:val="0"/>
          <w:sz w:val="36"/>
          <w:szCs w:val="36"/>
          <w:lang w:bidi="ar"/>
        </w:rPr>
      </w:pPr>
    </w:p>
    <w:p w14:paraId="033E2BD1">
      <w:pPr>
        <w:widowControl/>
        <w:jc w:val="left"/>
        <w:rPr>
          <w:rFonts w:ascii="Times New Roman" w:hAnsi="Times New Roman" w:eastAsia="黑体" w:cs="Times New Roman"/>
          <w:color w:val="000000"/>
          <w:kern w:val="0"/>
          <w:sz w:val="36"/>
          <w:szCs w:val="36"/>
          <w:lang w:bidi="ar"/>
        </w:rPr>
      </w:pPr>
    </w:p>
    <w:p w14:paraId="0323B138">
      <w:pPr>
        <w:widowControl/>
        <w:ind w:firstLine="720" w:firstLineChars="200"/>
        <w:jc w:val="left"/>
        <w:rPr>
          <w:rFonts w:ascii="Times New Roman" w:hAnsi="Times New Roman" w:cs="Times New Roman"/>
        </w:rPr>
      </w:pPr>
      <w:r>
        <w:rPr>
          <w:rFonts w:ascii="Times New Roman" w:hAnsi="Times New Roman" w:eastAsia="黑体" w:cs="Times New Roman"/>
          <w:color w:val="000000"/>
          <w:kern w:val="0"/>
          <w:sz w:val="36"/>
          <w:szCs w:val="36"/>
          <w:lang w:bidi="ar"/>
        </w:rPr>
        <w:t>项目名称：</w:t>
      </w:r>
      <w:r>
        <w:rPr>
          <w:rFonts w:hint="eastAsia" w:ascii="Times New Roman" w:hAnsi="Times New Roman" w:eastAsia="黑体" w:cs="Times New Roman"/>
          <w:color w:val="000000"/>
          <w:kern w:val="0"/>
          <w:sz w:val="36"/>
          <w:szCs w:val="36"/>
          <w:u w:val="single"/>
          <w:lang w:bidi="ar"/>
        </w:rPr>
        <w:t>安全生产及维稳经费</w:t>
      </w:r>
      <w:r>
        <w:rPr>
          <w:rFonts w:ascii="Times New Roman" w:hAnsi="Times New Roman" w:eastAsia="黑体" w:cs="Times New Roman"/>
          <w:color w:val="000000"/>
          <w:kern w:val="0"/>
          <w:sz w:val="36"/>
          <w:szCs w:val="36"/>
          <w:lang w:bidi="ar"/>
        </w:rPr>
        <w:t xml:space="preserve">  </w:t>
      </w:r>
    </w:p>
    <w:p w14:paraId="0B525EFB">
      <w:pPr>
        <w:widowControl/>
        <w:ind w:firstLine="720" w:firstLineChars="200"/>
        <w:jc w:val="left"/>
        <w:rPr>
          <w:rFonts w:ascii="Times New Roman" w:hAnsi="Times New Roman" w:cs="Times New Roman"/>
        </w:rPr>
      </w:pPr>
      <w:r>
        <w:rPr>
          <w:rFonts w:ascii="Times New Roman" w:hAnsi="Times New Roman" w:eastAsia="黑体" w:cs="Times New Roman"/>
          <w:color w:val="000000"/>
          <w:kern w:val="0"/>
          <w:sz w:val="36"/>
          <w:szCs w:val="36"/>
          <w:lang w:bidi="ar"/>
        </w:rPr>
        <w:t>项目单位：</w:t>
      </w:r>
      <w:r>
        <w:rPr>
          <w:rFonts w:hint="eastAsia" w:ascii="Times New Roman" w:hAnsi="Times New Roman" w:eastAsia="黑体" w:cs="Times New Roman"/>
          <w:color w:val="000000"/>
          <w:kern w:val="0"/>
          <w:sz w:val="36"/>
          <w:szCs w:val="36"/>
          <w:u w:val="single"/>
          <w:lang w:bidi="ar"/>
        </w:rPr>
        <w:t>公共安全办公室（综治）</w:t>
      </w:r>
    </w:p>
    <w:p w14:paraId="72127F0B">
      <w:pPr>
        <w:widowControl/>
        <w:ind w:firstLine="720" w:firstLineChars="200"/>
        <w:jc w:val="left"/>
        <w:rPr>
          <w:rFonts w:ascii="Times New Roman" w:hAnsi="Times New Roman" w:cs="Times New Roman"/>
        </w:rPr>
      </w:pPr>
      <w:r>
        <w:rPr>
          <w:rFonts w:ascii="Times New Roman" w:hAnsi="Times New Roman" w:eastAsia="黑体" w:cs="Times New Roman"/>
          <w:color w:val="000000"/>
          <w:kern w:val="0"/>
          <w:sz w:val="36"/>
          <w:szCs w:val="36"/>
          <w:lang w:bidi="ar"/>
        </w:rPr>
        <w:t>主管部门：</w:t>
      </w:r>
      <w:r>
        <w:rPr>
          <w:rFonts w:hint="eastAsia" w:ascii="Times New Roman" w:hAnsi="Times New Roman" w:eastAsia="黑体" w:cs="Times New Roman"/>
          <w:color w:val="000000"/>
          <w:kern w:val="0"/>
          <w:sz w:val="36"/>
          <w:szCs w:val="36"/>
          <w:u w:val="single"/>
          <w:lang w:bidi="ar"/>
        </w:rPr>
        <w:t>武汉东湖新技术开发区九峰街道办事处</w:t>
      </w:r>
    </w:p>
    <w:p w14:paraId="4AA0C698">
      <w:pPr>
        <w:widowControl/>
        <w:jc w:val="left"/>
        <w:rPr>
          <w:rFonts w:ascii="Times New Roman" w:hAnsi="Times New Roman" w:eastAsia="黑体" w:cs="Times New Roman"/>
          <w:color w:val="000000"/>
          <w:kern w:val="0"/>
          <w:sz w:val="32"/>
          <w:szCs w:val="32"/>
          <w:lang w:bidi="ar"/>
        </w:rPr>
      </w:pPr>
    </w:p>
    <w:p w14:paraId="14EF97C1">
      <w:pPr>
        <w:widowControl/>
        <w:jc w:val="left"/>
        <w:rPr>
          <w:rFonts w:ascii="Times New Roman" w:hAnsi="Times New Roman" w:eastAsia="黑体" w:cs="Times New Roman"/>
          <w:color w:val="000000"/>
          <w:kern w:val="0"/>
          <w:sz w:val="32"/>
          <w:szCs w:val="32"/>
          <w:lang w:bidi="ar"/>
        </w:rPr>
      </w:pPr>
    </w:p>
    <w:p w14:paraId="469D751F">
      <w:pPr>
        <w:widowControl/>
        <w:jc w:val="center"/>
        <w:rPr>
          <w:rFonts w:ascii="Times New Roman" w:hAnsi="Times New Roman" w:cs="Times New Roman"/>
        </w:rPr>
      </w:pPr>
      <w:r>
        <w:rPr>
          <w:rFonts w:hint="eastAsia" w:ascii="Times New Roman" w:hAnsi="Times New Roman" w:eastAsia="黑体" w:cs="Times New Roman"/>
          <w:color w:val="000000"/>
          <w:kern w:val="0"/>
          <w:sz w:val="32"/>
          <w:szCs w:val="32"/>
          <w:lang w:bidi="ar"/>
        </w:rPr>
        <w:t>2</w:t>
      </w:r>
      <w:r>
        <w:rPr>
          <w:rFonts w:ascii="Times New Roman" w:hAnsi="Times New Roman" w:eastAsia="黑体" w:cs="Times New Roman"/>
          <w:color w:val="000000"/>
          <w:kern w:val="0"/>
          <w:sz w:val="32"/>
          <w:szCs w:val="32"/>
          <w:lang w:bidi="ar"/>
        </w:rPr>
        <w:t>020年7月</w:t>
      </w:r>
    </w:p>
    <w:p w14:paraId="21A2EDF8">
      <w:pPr>
        <w:widowControl/>
        <w:jc w:val="left"/>
        <w:rPr>
          <w:rFonts w:ascii="Times New Roman" w:hAnsi="Times New Roman" w:eastAsia="黑体" w:cs="Times New Roman"/>
          <w:color w:val="000000"/>
          <w:kern w:val="0"/>
          <w:sz w:val="32"/>
          <w:szCs w:val="32"/>
          <w:lang w:bidi="ar"/>
        </w:rPr>
      </w:pPr>
    </w:p>
    <w:p w14:paraId="0290166B">
      <w:pPr>
        <w:pStyle w:val="2"/>
        <w:rPr>
          <w:rFonts w:ascii="Times New Roman" w:hAnsi="Times New Roman" w:eastAsia="黑体" w:cs="Times New Roman"/>
          <w:color w:val="000000"/>
          <w:kern w:val="0"/>
          <w:sz w:val="32"/>
          <w:szCs w:val="32"/>
          <w:lang w:bidi="ar"/>
        </w:rPr>
      </w:pPr>
    </w:p>
    <w:p w14:paraId="6CB8B9BF">
      <w:pPr>
        <w:rPr>
          <w:rFonts w:ascii="Times New Roman" w:hAnsi="Times New Roman" w:eastAsia="黑体" w:cs="Times New Roman"/>
          <w:color w:val="000000"/>
          <w:kern w:val="0"/>
          <w:sz w:val="32"/>
          <w:szCs w:val="32"/>
          <w:lang w:bidi="ar"/>
        </w:rPr>
      </w:pPr>
    </w:p>
    <w:p w14:paraId="05BABB0B">
      <w:pPr>
        <w:widowControl/>
        <w:jc w:val="left"/>
        <w:rPr>
          <w:rFonts w:ascii="Times New Roman" w:hAnsi="Times New Roman" w:eastAsia="黑体" w:cs="Times New Roman"/>
          <w:color w:val="000000"/>
          <w:kern w:val="0"/>
          <w:sz w:val="32"/>
          <w:szCs w:val="32"/>
          <w:lang w:bidi="ar"/>
        </w:rPr>
      </w:pPr>
    </w:p>
    <w:p w14:paraId="67A659B4">
      <w:pPr>
        <w:jc w:val="center"/>
        <w:rPr>
          <w:rFonts w:ascii="Times New Roman" w:hAnsi="Times New Roman" w:cs="Times New Roman"/>
          <w:szCs w:val="30"/>
        </w:rPr>
      </w:pPr>
    </w:p>
    <w:p w14:paraId="73CC3DE2">
      <w:pPr>
        <w:widowControl/>
        <w:ind w:firstLine="640" w:firstLineChars="200"/>
        <w:jc w:val="left"/>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一、基本情况</w:t>
      </w:r>
    </w:p>
    <w:p w14:paraId="3FAC57B1">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（一）项目概况。</w:t>
      </w:r>
    </w:p>
    <w:p w14:paraId="46B639E2">
      <w:pPr>
        <w:spacing w:line="600" w:lineRule="exact"/>
        <w:ind w:firstLine="640" w:firstLineChars="200"/>
        <w:outlineLvl w:val="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.项目背景、主要内容及实施情况</w:t>
      </w:r>
    </w:p>
    <w:p w14:paraId="2B1DA855">
      <w:pPr>
        <w:ind w:firstLine="640" w:firstLineChars="200"/>
        <w:rPr>
          <w:rFonts w:ascii="仿宋" w:hAnsi="仿宋" w:eastAsia="仿宋"/>
          <w:sz w:val="32"/>
          <w:szCs w:val="32"/>
        </w:rPr>
      </w:pPr>
      <w:r>
        <w:rPr>
          <w:rFonts w:hint="eastAsia" w:ascii="仿宋" w:hAnsi="仿宋" w:eastAsia="仿宋"/>
          <w:sz w:val="32"/>
          <w:szCs w:val="32"/>
        </w:rPr>
        <w:t>2019年1月以来，九峰街道办事处公共安全办公室在东湖高新区政法综治办的具体指导下，在街道党工委、办事处的正确领导下，以创建“平安九峰”为主题，以人民群众满意为标准，以“打防结合，预防为主，多种手段，协同作战”为工作方针，紧紧围绕街道中心工作，狠抓街道的社会稳定和社会管理综合治理工作，有效地保障了全街社会、政治、经济、文化的协调和发展，有力地加强了社会管理防控体系的建设。</w:t>
      </w:r>
    </w:p>
    <w:p w14:paraId="7D6EEBBA">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2.资金投入和使用情况等。</w:t>
      </w:r>
    </w:p>
    <w:p w14:paraId="0864465A">
      <w:pPr>
        <w:ind w:firstLine="640" w:firstLineChars="200"/>
        <w:rPr>
          <w:rFonts w:ascii="仿宋" w:hAnsi="仿宋" w:eastAsia="仿宋"/>
          <w:sz w:val="32"/>
          <w:szCs w:val="32"/>
        </w:rPr>
      </w:pPr>
      <w:r>
        <w:rPr>
          <w:rFonts w:hint="eastAsia" w:ascii="仿宋" w:hAnsi="仿宋" w:eastAsia="仿宋"/>
          <w:sz w:val="32"/>
          <w:szCs w:val="32"/>
        </w:rPr>
        <w:t>安全生产及维稳经费项目年初预算资金</w:t>
      </w:r>
      <w:r>
        <w:rPr>
          <w:rFonts w:ascii="仿宋" w:hAnsi="仿宋" w:eastAsia="仿宋"/>
          <w:sz w:val="32"/>
          <w:szCs w:val="32"/>
        </w:rPr>
        <w:t>165.00</w:t>
      </w:r>
      <w:r>
        <w:rPr>
          <w:rFonts w:hint="eastAsia" w:ascii="仿宋" w:hAnsi="仿宋" w:eastAsia="仿宋"/>
          <w:sz w:val="32"/>
          <w:szCs w:val="32"/>
        </w:rPr>
        <w:t>万元，追加后预算资金</w:t>
      </w:r>
      <w:r>
        <w:rPr>
          <w:rFonts w:ascii="仿宋" w:hAnsi="仿宋" w:eastAsia="仿宋"/>
          <w:sz w:val="32"/>
          <w:szCs w:val="32"/>
        </w:rPr>
        <w:t>260.63</w:t>
      </w:r>
      <w:r>
        <w:rPr>
          <w:rFonts w:hint="eastAsia" w:ascii="仿宋" w:hAnsi="仿宋" w:eastAsia="仿宋"/>
          <w:sz w:val="32"/>
          <w:szCs w:val="32"/>
        </w:rPr>
        <w:t>万元，全年执行数</w:t>
      </w:r>
      <w:r>
        <w:rPr>
          <w:rFonts w:ascii="仿宋" w:hAnsi="仿宋" w:eastAsia="仿宋"/>
          <w:sz w:val="32"/>
          <w:szCs w:val="32"/>
        </w:rPr>
        <w:t>260.32</w:t>
      </w:r>
      <w:r>
        <w:rPr>
          <w:rFonts w:hint="eastAsia" w:ascii="仿宋" w:hAnsi="仿宋" w:eastAsia="仿宋"/>
          <w:sz w:val="32"/>
          <w:szCs w:val="32"/>
        </w:rPr>
        <w:t>万元。</w:t>
      </w:r>
    </w:p>
    <w:p w14:paraId="23563CAD">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（二）项目绩效目标。包括总体目标和阶段性目标。</w:t>
      </w:r>
    </w:p>
    <w:p w14:paraId="0B388E86">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总体目标：加大安全生产宣传，提高民众安全生产意识，预防和减少事故发生；根据省、市、区信访维稳工作要求，更好的开展信访维稳工作；根据国家相关政策，更好的开展计划法律宣传、社区矫正、人民调解、普法及法律援助工作。</w:t>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p>
    <w:p w14:paraId="0AA587EB">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阶段性目标：普法宣传活动次数达标；扫黑除恶宣传活动次数达标；社区网格员培训次数达标；消防演练次数达标；安全宣传次数达标；安全检查次数</w:t>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达标；信访受理率达标；领导干部下基层大接访活动办结率</w:t>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达标；群众来访反馈率达标；传销人员持续“清零”；铁路护路“不出一事”；市长专线投诉按时办结率达标；城市留言板投诉按时办结率达标；重点稳控期间不发生进京赴省到市越级访的现象；加强综治工作，维护辖区治安秩序，保障社会稳定；加大安全生产宣传，提高民众安全生产意识，预防和减少辖区事故发生；安监局满意度达标；群众满意度（一感一度一率一评价）达标。</w:t>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p>
    <w:p w14:paraId="3E62874C">
      <w:pPr>
        <w:widowControl/>
        <w:ind w:firstLine="640" w:firstLineChars="200"/>
        <w:jc w:val="left"/>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二、绩效评价工作开展情况</w:t>
      </w:r>
    </w:p>
    <w:p w14:paraId="64ED4F44">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（一）绩效评价目的、对象和范围。</w:t>
      </w:r>
    </w:p>
    <w:p w14:paraId="6AD1FA85">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为深化预算管理改革，进一步加强九峰街道办事处安全生产及维稳经费项目实施的监督管理，提高财政资金使用效益，根据《中华人民共和国预算法》和《财政支出绩效评价管理暂行办法》等国家有关规章制度，按照武汉东湖新技术开发区管理委员会财政局的工作部署进行此次绩效评价。此外，本次绩效评价还力争实现以下目的：</w:t>
      </w:r>
    </w:p>
    <w:p w14:paraId="1484BF06">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按照项目资金管理要求，设计合理的指标体系和评价标准，采取科学、规范的评价方法，采用定性及定量相结合的评价指标，对“安全生产及维稳经费”的决策、过程、产出和效果四个方面进行客观公正地评价。</w:t>
      </w:r>
    </w:p>
    <w:p w14:paraId="43A102A6">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（2）通过绩效评价为合理分配资金、优化支出提供依据，也为逐步建立“预算编制有目标，预算执行有监控，预算完成有评价，评价结果有反馈，反馈结果有应用”的绩效评价机制提供决策依据。</w:t>
      </w:r>
    </w:p>
    <w:p w14:paraId="1F389007">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（3）通过绩效评价总结前一年度项目实施的经验教训，为进一步加强“安全生产及维稳经费”管理，提高项目建设水平，发挥资金效益提供重要的参考依据</w:t>
      </w:r>
    </w:p>
    <w:p w14:paraId="7F06C9AD">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（二）绩效评价原则、评价指标体系（附表说明）、评价方法、评价标准等。</w:t>
      </w:r>
    </w:p>
    <w:p w14:paraId="6BEC211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评价依据</w:t>
      </w:r>
    </w:p>
    <w:p w14:paraId="0A74523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（1）《中华人民共和国预算法》（</w:t>
      </w:r>
      <w:r>
        <w:rPr>
          <w:rFonts w:ascii="Times New Roman" w:hAnsi="Times New Roman" w:eastAsia="仿宋_GB2312" w:cs="Times New Roman"/>
          <w:sz w:val="32"/>
          <w:szCs w:val="32"/>
        </w:rPr>
        <w:t>2014年修订版）</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 xml:space="preserve"> </w:t>
      </w:r>
    </w:p>
    <w:p w14:paraId="2B8303F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关于印发《湖北省财政项目资金绩效评价操作指南》的通知（鄂财函[2014]376号）；</w:t>
      </w:r>
    </w:p>
    <w:p w14:paraId="5C3CCBF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关于印发《预算绩效评价共性指标体系框架》的通知(财预[2015]53号)；</w:t>
      </w:r>
    </w:p>
    <w:p w14:paraId="236A82E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（4）《市财政局关于进一步加强预算绩效管理工作的通知》（武财绩[2015]465号）；</w:t>
      </w:r>
    </w:p>
    <w:p w14:paraId="482C912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（5）《省财政厅关于开展2017年省级财政支出绩效评价工作的通知》（鄂财函［2017］8号）；</w:t>
      </w:r>
    </w:p>
    <w:p w14:paraId="70C9C96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（6）关于贯彻落实《中共中央</w:t>
      </w:r>
      <w:r>
        <w:rPr>
          <w:rFonts w:ascii="Times New Roman" w:hAnsi="Times New Roman" w:eastAsia="仿宋_GB2312" w:cs="Times New Roman"/>
          <w:sz w:val="32"/>
          <w:szCs w:val="32"/>
        </w:rPr>
        <w:t xml:space="preserve"> 国务院关于</w:t>
      </w:r>
      <w:r>
        <w:rPr>
          <w:rFonts w:hint="eastAsia" w:ascii="Times New Roman" w:hAnsi="Times New Roman" w:eastAsia="仿宋_GB2312" w:cs="Times New Roman"/>
          <w:sz w:val="32"/>
          <w:szCs w:val="32"/>
        </w:rPr>
        <w:t>全面实施预算绩效管理的意见》的通知（财预〔</w:t>
      </w:r>
      <w:r>
        <w:rPr>
          <w:rFonts w:ascii="Times New Roman" w:hAnsi="Times New Roman" w:eastAsia="仿宋_GB2312" w:cs="Times New Roman"/>
          <w:sz w:val="32"/>
          <w:szCs w:val="32"/>
        </w:rPr>
        <w:t>2019〕167号</w:t>
      </w:r>
      <w:r>
        <w:rPr>
          <w:rFonts w:hint="eastAsia" w:ascii="Times New Roman" w:hAnsi="Times New Roman" w:eastAsia="仿宋_GB2312" w:cs="Times New Roman"/>
          <w:sz w:val="32"/>
          <w:szCs w:val="32"/>
        </w:rPr>
        <w:t>）；</w:t>
      </w:r>
    </w:p>
    <w:p w14:paraId="084069C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（7）财政部《项目支出绩效评价管理办法》（财预〔2020〕10 号）。</w:t>
      </w:r>
    </w:p>
    <w:p w14:paraId="116B0B0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评价原则</w:t>
      </w:r>
    </w:p>
    <w:p w14:paraId="3D0BBF0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科学规范原则。我们将严格执行规定的程序，按照科学可行的要求，采用定量与定性分析相结合的方法，对“安全生产及维稳经费”项目进行绩效评价。同时在反映产出、效果等方面的末级明细指标细化、量化程度较高，降低评价人员的主观影响。</w:t>
      </w:r>
    </w:p>
    <w:p w14:paraId="06AD688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（2）公正公开原则。本次绩效评价符合真实、客观、公正的要求，依法公开并接受监督。</w:t>
      </w:r>
    </w:p>
    <w:p w14:paraId="458F16B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（3）分级分类原则。本次绩效评价根据评价对象的特点分类组织实施。</w:t>
      </w:r>
    </w:p>
    <w:p w14:paraId="515E84B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（4）绩效相关原则。我们使用与绩效目标有直接联系，能够恰当反映目标实现程度的绩效评价指标。</w:t>
      </w:r>
    </w:p>
    <w:p w14:paraId="7E3F376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绩效指标体系设计原则</w:t>
      </w:r>
    </w:p>
    <w:p w14:paraId="55B4E63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本次绩效评价，我们遵循相关性原则、重要性原则、可比性原则、系统性原则、经济性原则。 </w:t>
      </w:r>
    </w:p>
    <w:p w14:paraId="17EFD65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（1）相关性原则：应当与绩效目标有直接联系，能够恰当反映目标的实现程度。</w:t>
      </w:r>
    </w:p>
    <w:p w14:paraId="66FEC11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（2）重要性原则：应当优先使用最具代表性、最能反映评价要求的核心指标。</w:t>
      </w:r>
    </w:p>
    <w:p w14:paraId="56416D8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（3）可比性原则：对同类评价对象要设定共性的绩效评价指标，便于评价结果横向比较。</w:t>
      </w:r>
    </w:p>
    <w:p w14:paraId="2713073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（4）系统性原则：应当将定量指标与定性指标相结合，系统反映财政支出所产生的社会效益和可持续影响等。</w:t>
      </w:r>
    </w:p>
    <w:p w14:paraId="5D5F213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（5）经济性原则：应当通俗易懂、简便易行，数据的获得应当考虑现实条件和可操作性，符合成本效益原则。</w:t>
      </w:r>
    </w:p>
    <w:p w14:paraId="153CDFF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4、评价工作方法</w:t>
      </w:r>
    </w:p>
    <w:p w14:paraId="5B67C4B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绩效评价的方式包括现场评价和非现场评价方式。本次绩效评价采取现场评价和非现场评价相结合的方式进行评价。</w:t>
      </w:r>
    </w:p>
    <w:p w14:paraId="36F37C9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现场评价需要现场采取询问、观察、检查、复核等方式对评价项目的有关情况进行核实，对收集的资料进行整理和科学的分析，根据综合分析的结果得出评价结果，撰写评价报告。</w:t>
      </w:r>
    </w:p>
    <w:p w14:paraId="5C560FF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非现场评价是指根据项目单位提交的项目相关资料和自评报告进行分析，提出评价意见。</w:t>
      </w:r>
    </w:p>
    <w:p w14:paraId="036CDC0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5、评价标准的确定方法</w:t>
      </w:r>
    </w:p>
    <w:p w14:paraId="0240A32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标准值的确定方法主要有计划标准、行业标准、历史标准、财政部门和预算部门确认或认可的其他标准等。本次评价采用了计划标准、历史标准来确定标准值。以预先制定的目标、计划、预算、定额等数据作为评价标准，或者参照同类指标的历史数据确定标准值。</w:t>
      </w:r>
    </w:p>
    <w:p w14:paraId="2AA7C5F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对于项目内容完成情况、项目水平等需要考核的重要指标，根据考核项目实际产出情况，设计制定分档标准，分档标准值及各档分值由评价人员根据实际工作情况及本次绩效评价目的并征求有关意见加以确定。</w:t>
      </w:r>
    </w:p>
    <w:p w14:paraId="048C736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6、评价结果分级</w:t>
      </w:r>
    </w:p>
    <w:p w14:paraId="1B330AC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评价结果采取评分与评级相结合的形式，具体分值和等级根据不同评价内容设定，体现客观公正，具有公信力。根据《项目支出绩效评价管理办法》，评价结果实行量化打分，分为“优”、“良”、“中”、“差”四个等级，具体得分区间如下表：</w:t>
      </w:r>
    </w:p>
    <w:tbl>
      <w:tblPr>
        <w:tblStyle w:val="8"/>
        <w:tblW w:w="827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2317"/>
        <w:gridCol w:w="1559"/>
        <w:gridCol w:w="1560"/>
        <w:gridCol w:w="1417"/>
        <w:gridCol w:w="1418"/>
      </w:tblGrid>
      <w:tr w14:paraId="14D3DB7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7" w:hRule="atLeast"/>
          <w:jc w:val="center"/>
        </w:trPr>
        <w:tc>
          <w:tcPr>
            <w:tcW w:w="2317" w:type="dxa"/>
            <w:shd w:val="clear" w:color="auto" w:fill="auto"/>
            <w:noWrap/>
            <w:vAlign w:val="center"/>
          </w:tcPr>
          <w:p w14:paraId="102BD14C">
            <w:pPr>
              <w:jc w:val="center"/>
              <w:rPr>
                <w:rFonts w:ascii="仿宋" w:hAnsi="仿宋" w:eastAsia="仿宋"/>
                <w:sz w:val="28"/>
                <w:szCs w:val="28"/>
              </w:rPr>
            </w:pPr>
            <w:r>
              <w:rPr>
                <w:rFonts w:hint="eastAsia" w:ascii="仿宋" w:hAnsi="仿宋" w:eastAsia="仿宋"/>
                <w:sz w:val="28"/>
                <w:szCs w:val="28"/>
              </w:rPr>
              <w:t>评价等级</w:t>
            </w:r>
          </w:p>
        </w:tc>
        <w:tc>
          <w:tcPr>
            <w:tcW w:w="1559" w:type="dxa"/>
            <w:shd w:val="clear" w:color="auto" w:fill="auto"/>
            <w:noWrap/>
            <w:vAlign w:val="center"/>
          </w:tcPr>
          <w:p w14:paraId="7C0903EF">
            <w:pPr>
              <w:jc w:val="center"/>
              <w:rPr>
                <w:rFonts w:ascii="仿宋" w:hAnsi="仿宋" w:eastAsia="仿宋"/>
                <w:sz w:val="28"/>
                <w:szCs w:val="28"/>
              </w:rPr>
            </w:pPr>
            <w:r>
              <w:rPr>
                <w:rFonts w:hint="eastAsia" w:ascii="仿宋" w:hAnsi="仿宋" w:eastAsia="仿宋"/>
                <w:sz w:val="28"/>
                <w:szCs w:val="28"/>
              </w:rPr>
              <w:t>优</w:t>
            </w:r>
          </w:p>
        </w:tc>
        <w:tc>
          <w:tcPr>
            <w:tcW w:w="1560" w:type="dxa"/>
            <w:shd w:val="clear" w:color="auto" w:fill="auto"/>
            <w:noWrap/>
            <w:vAlign w:val="center"/>
          </w:tcPr>
          <w:p w14:paraId="00E8D1ED">
            <w:pPr>
              <w:jc w:val="center"/>
              <w:rPr>
                <w:rFonts w:ascii="仿宋" w:hAnsi="仿宋" w:eastAsia="仿宋"/>
                <w:sz w:val="28"/>
                <w:szCs w:val="28"/>
              </w:rPr>
            </w:pPr>
            <w:r>
              <w:rPr>
                <w:rFonts w:hint="eastAsia" w:ascii="仿宋" w:hAnsi="仿宋" w:eastAsia="仿宋"/>
                <w:sz w:val="28"/>
                <w:szCs w:val="28"/>
              </w:rPr>
              <w:t>良</w:t>
            </w:r>
          </w:p>
        </w:tc>
        <w:tc>
          <w:tcPr>
            <w:tcW w:w="1417" w:type="dxa"/>
            <w:shd w:val="clear" w:color="auto" w:fill="auto"/>
            <w:noWrap/>
            <w:vAlign w:val="center"/>
          </w:tcPr>
          <w:p w14:paraId="7ECA2C5D">
            <w:pPr>
              <w:jc w:val="center"/>
              <w:rPr>
                <w:rFonts w:ascii="仿宋" w:hAnsi="仿宋" w:eastAsia="仿宋"/>
                <w:sz w:val="28"/>
                <w:szCs w:val="28"/>
              </w:rPr>
            </w:pPr>
            <w:r>
              <w:rPr>
                <w:rFonts w:hint="eastAsia" w:ascii="仿宋" w:hAnsi="仿宋" w:eastAsia="仿宋"/>
                <w:sz w:val="28"/>
                <w:szCs w:val="28"/>
              </w:rPr>
              <w:t>中</w:t>
            </w:r>
          </w:p>
        </w:tc>
        <w:tc>
          <w:tcPr>
            <w:tcW w:w="1418" w:type="dxa"/>
            <w:shd w:val="clear" w:color="auto" w:fill="auto"/>
            <w:noWrap/>
            <w:vAlign w:val="center"/>
          </w:tcPr>
          <w:p w14:paraId="2D14DFA0">
            <w:pPr>
              <w:jc w:val="center"/>
              <w:rPr>
                <w:rFonts w:ascii="仿宋" w:hAnsi="仿宋" w:eastAsia="仿宋"/>
                <w:sz w:val="28"/>
                <w:szCs w:val="28"/>
              </w:rPr>
            </w:pPr>
            <w:r>
              <w:rPr>
                <w:rFonts w:hint="eastAsia" w:ascii="仿宋" w:hAnsi="仿宋" w:eastAsia="仿宋"/>
                <w:sz w:val="28"/>
                <w:szCs w:val="28"/>
              </w:rPr>
              <w:t>差</w:t>
            </w:r>
          </w:p>
        </w:tc>
      </w:tr>
      <w:tr w14:paraId="2E5BBF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0" w:hRule="atLeast"/>
          <w:jc w:val="center"/>
        </w:trPr>
        <w:tc>
          <w:tcPr>
            <w:tcW w:w="2317" w:type="dxa"/>
            <w:shd w:val="clear" w:color="auto" w:fill="auto"/>
            <w:noWrap/>
            <w:vAlign w:val="center"/>
          </w:tcPr>
          <w:p w14:paraId="1E970BA5">
            <w:pPr>
              <w:jc w:val="center"/>
              <w:rPr>
                <w:rFonts w:ascii="仿宋" w:hAnsi="仿宋" w:eastAsia="仿宋"/>
                <w:sz w:val="28"/>
                <w:szCs w:val="28"/>
              </w:rPr>
            </w:pPr>
            <w:r>
              <w:rPr>
                <w:rFonts w:hint="eastAsia" w:ascii="仿宋" w:hAnsi="仿宋" w:eastAsia="仿宋"/>
                <w:sz w:val="28"/>
                <w:szCs w:val="28"/>
              </w:rPr>
              <w:t>得分区间</w:t>
            </w:r>
          </w:p>
        </w:tc>
        <w:tc>
          <w:tcPr>
            <w:tcW w:w="1559" w:type="dxa"/>
            <w:shd w:val="clear" w:color="auto" w:fill="auto"/>
            <w:noWrap/>
            <w:vAlign w:val="center"/>
          </w:tcPr>
          <w:p w14:paraId="23A68140">
            <w:pPr>
              <w:jc w:val="center"/>
              <w:rPr>
                <w:rFonts w:ascii="仿宋" w:hAnsi="仿宋" w:eastAsia="仿宋"/>
                <w:sz w:val="28"/>
                <w:szCs w:val="28"/>
              </w:rPr>
            </w:pPr>
            <w:r>
              <w:rPr>
                <w:rFonts w:ascii="仿宋" w:hAnsi="仿宋" w:eastAsia="仿宋"/>
                <w:sz w:val="28"/>
                <w:szCs w:val="28"/>
              </w:rPr>
              <w:t>[100,90]</w:t>
            </w:r>
          </w:p>
        </w:tc>
        <w:tc>
          <w:tcPr>
            <w:tcW w:w="1560" w:type="dxa"/>
            <w:shd w:val="clear" w:color="auto" w:fill="auto"/>
            <w:noWrap/>
            <w:vAlign w:val="center"/>
          </w:tcPr>
          <w:p w14:paraId="45B93297">
            <w:pPr>
              <w:jc w:val="center"/>
              <w:rPr>
                <w:rFonts w:ascii="仿宋" w:hAnsi="仿宋" w:eastAsia="仿宋"/>
                <w:sz w:val="28"/>
                <w:szCs w:val="28"/>
              </w:rPr>
            </w:pPr>
            <w:r>
              <w:rPr>
                <w:rFonts w:ascii="仿宋" w:hAnsi="仿宋" w:eastAsia="仿宋"/>
                <w:sz w:val="28"/>
                <w:szCs w:val="28"/>
              </w:rPr>
              <w:t>(90,80]</w:t>
            </w:r>
          </w:p>
        </w:tc>
        <w:tc>
          <w:tcPr>
            <w:tcW w:w="1417" w:type="dxa"/>
            <w:shd w:val="clear" w:color="auto" w:fill="auto"/>
            <w:noWrap/>
            <w:vAlign w:val="center"/>
          </w:tcPr>
          <w:p w14:paraId="6CD6A97D">
            <w:pPr>
              <w:jc w:val="center"/>
              <w:rPr>
                <w:rFonts w:ascii="仿宋" w:hAnsi="仿宋" w:eastAsia="仿宋"/>
                <w:sz w:val="28"/>
                <w:szCs w:val="28"/>
              </w:rPr>
            </w:pPr>
            <w:r>
              <w:rPr>
                <w:rFonts w:ascii="仿宋" w:hAnsi="仿宋" w:eastAsia="仿宋"/>
                <w:sz w:val="28"/>
                <w:szCs w:val="28"/>
              </w:rPr>
              <w:t>(80,60]</w:t>
            </w:r>
          </w:p>
        </w:tc>
        <w:tc>
          <w:tcPr>
            <w:tcW w:w="1418" w:type="dxa"/>
            <w:shd w:val="clear" w:color="auto" w:fill="auto"/>
            <w:noWrap/>
            <w:vAlign w:val="center"/>
          </w:tcPr>
          <w:p w14:paraId="02310A10">
            <w:pPr>
              <w:jc w:val="center"/>
              <w:rPr>
                <w:rFonts w:ascii="仿宋" w:hAnsi="仿宋" w:eastAsia="仿宋"/>
                <w:sz w:val="28"/>
                <w:szCs w:val="28"/>
              </w:rPr>
            </w:pPr>
            <w:r>
              <w:rPr>
                <w:rFonts w:ascii="仿宋" w:hAnsi="仿宋" w:eastAsia="仿宋"/>
                <w:sz w:val="28"/>
                <w:szCs w:val="28"/>
              </w:rPr>
              <w:t>(60,0]</w:t>
            </w:r>
          </w:p>
        </w:tc>
      </w:tr>
    </w:tbl>
    <w:p w14:paraId="12EDB93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针对四个一级指标得分率，参考上述方法，也设置了四个等级。</w:t>
      </w:r>
    </w:p>
    <w:p w14:paraId="44E80CC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得分率=（实际得分/设置分值）*100%</w:t>
      </w:r>
    </w:p>
    <w:p w14:paraId="153F5AA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具体等级区间如下表：</w:t>
      </w:r>
    </w:p>
    <w:tbl>
      <w:tblPr>
        <w:tblStyle w:val="8"/>
        <w:tblW w:w="827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2017"/>
        <w:gridCol w:w="1638"/>
        <w:gridCol w:w="1639"/>
        <w:gridCol w:w="1488"/>
        <w:gridCol w:w="1489"/>
      </w:tblGrid>
      <w:tr w14:paraId="22CCB7B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017" w:type="dxa"/>
            <w:shd w:val="clear" w:color="auto" w:fill="auto"/>
            <w:noWrap/>
            <w:vAlign w:val="center"/>
          </w:tcPr>
          <w:p w14:paraId="60EB795E">
            <w:pPr>
              <w:jc w:val="center"/>
              <w:rPr>
                <w:rFonts w:ascii="仿宋" w:hAnsi="仿宋" w:eastAsia="仿宋"/>
                <w:sz w:val="28"/>
                <w:szCs w:val="28"/>
              </w:rPr>
            </w:pPr>
            <w:r>
              <w:rPr>
                <w:rFonts w:hint="eastAsia" w:ascii="仿宋" w:hAnsi="仿宋" w:eastAsia="仿宋"/>
                <w:sz w:val="28"/>
                <w:szCs w:val="28"/>
              </w:rPr>
              <w:t>评价等级</w:t>
            </w:r>
          </w:p>
        </w:tc>
        <w:tc>
          <w:tcPr>
            <w:tcW w:w="1638" w:type="dxa"/>
            <w:shd w:val="clear" w:color="auto" w:fill="auto"/>
            <w:noWrap/>
            <w:vAlign w:val="center"/>
          </w:tcPr>
          <w:p w14:paraId="449BF4B9">
            <w:pPr>
              <w:jc w:val="center"/>
              <w:rPr>
                <w:rFonts w:ascii="仿宋" w:hAnsi="仿宋" w:eastAsia="仿宋"/>
                <w:sz w:val="28"/>
                <w:szCs w:val="28"/>
              </w:rPr>
            </w:pPr>
            <w:r>
              <w:rPr>
                <w:rFonts w:hint="eastAsia" w:ascii="仿宋" w:hAnsi="仿宋" w:eastAsia="仿宋"/>
                <w:sz w:val="28"/>
                <w:szCs w:val="28"/>
              </w:rPr>
              <w:t>优</w:t>
            </w:r>
          </w:p>
        </w:tc>
        <w:tc>
          <w:tcPr>
            <w:tcW w:w="1639" w:type="dxa"/>
            <w:shd w:val="clear" w:color="auto" w:fill="auto"/>
            <w:noWrap/>
            <w:vAlign w:val="center"/>
          </w:tcPr>
          <w:p w14:paraId="2E08346D">
            <w:pPr>
              <w:jc w:val="center"/>
              <w:rPr>
                <w:rFonts w:ascii="仿宋" w:hAnsi="仿宋" w:eastAsia="仿宋"/>
                <w:sz w:val="28"/>
                <w:szCs w:val="28"/>
              </w:rPr>
            </w:pPr>
            <w:r>
              <w:rPr>
                <w:rFonts w:hint="eastAsia" w:ascii="仿宋" w:hAnsi="仿宋" w:eastAsia="仿宋"/>
                <w:sz w:val="28"/>
                <w:szCs w:val="28"/>
              </w:rPr>
              <w:t>良</w:t>
            </w:r>
          </w:p>
        </w:tc>
        <w:tc>
          <w:tcPr>
            <w:tcW w:w="1488" w:type="dxa"/>
            <w:shd w:val="clear" w:color="auto" w:fill="auto"/>
            <w:noWrap/>
            <w:vAlign w:val="center"/>
          </w:tcPr>
          <w:p w14:paraId="0BCFFD90">
            <w:pPr>
              <w:jc w:val="center"/>
              <w:rPr>
                <w:rFonts w:ascii="仿宋" w:hAnsi="仿宋" w:eastAsia="仿宋"/>
                <w:sz w:val="28"/>
                <w:szCs w:val="28"/>
              </w:rPr>
            </w:pPr>
            <w:r>
              <w:rPr>
                <w:rFonts w:hint="eastAsia" w:ascii="仿宋" w:hAnsi="仿宋" w:eastAsia="仿宋"/>
                <w:sz w:val="28"/>
                <w:szCs w:val="28"/>
              </w:rPr>
              <w:t>中</w:t>
            </w:r>
          </w:p>
        </w:tc>
        <w:tc>
          <w:tcPr>
            <w:tcW w:w="1489" w:type="dxa"/>
            <w:shd w:val="clear" w:color="auto" w:fill="auto"/>
            <w:noWrap/>
            <w:vAlign w:val="center"/>
          </w:tcPr>
          <w:p w14:paraId="453F271F">
            <w:pPr>
              <w:jc w:val="center"/>
              <w:rPr>
                <w:rFonts w:ascii="仿宋" w:hAnsi="仿宋" w:eastAsia="仿宋"/>
                <w:sz w:val="28"/>
                <w:szCs w:val="28"/>
              </w:rPr>
            </w:pPr>
            <w:r>
              <w:rPr>
                <w:rFonts w:hint="eastAsia" w:ascii="仿宋" w:hAnsi="仿宋" w:eastAsia="仿宋"/>
                <w:sz w:val="28"/>
                <w:szCs w:val="28"/>
              </w:rPr>
              <w:t>差</w:t>
            </w:r>
          </w:p>
        </w:tc>
      </w:tr>
      <w:tr w14:paraId="744760E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7" w:hRule="atLeast"/>
          <w:jc w:val="center"/>
        </w:trPr>
        <w:tc>
          <w:tcPr>
            <w:tcW w:w="2017" w:type="dxa"/>
            <w:shd w:val="clear" w:color="auto" w:fill="auto"/>
            <w:noWrap/>
            <w:vAlign w:val="center"/>
          </w:tcPr>
          <w:p w14:paraId="22B1A195">
            <w:pPr>
              <w:jc w:val="center"/>
              <w:rPr>
                <w:rFonts w:ascii="仿宋" w:hAnsi="仿宋" w:eastAsia="仿宋"/>
                <w:sz w:val="28"/>
                <w:szCs w:val="28"/>
              </w:rPr>
            </w:pPr>
            <w:r>
              <w:rPr>
                <w:rFonts w:hint="eastAsia" w:ascii="仿宋" w:hAnsi="仿宋" w:eastAsia="仿宋"/>
                <w:sz w:val="28"/>
                <w:szCs w:val="28"/>
              </w:rPr>
              <w:t>得分率区间</w:t>
            </w:r>
          </w:p>
        </w:tc>
        <w:tc>
          <w:tcPr>
            <w:tcW w:w="1638" w:type="dxa"/>
            <w:shd w:val="clear" w:color="auto" w:fill="auto"/>
            <w:noWrap/>
            <w:vAlign w:val="center"/>
          </w:tcPr>
          <w:p w14:paraId="13909564">
            <w:pPr>
              <w:jc w:val="center"/>
              <w:rPr>
                <w:rFonts w:ascii="仿宋" w:hAnsi="仿宋" w:eastAsia="仿宋"/>
                <w:sz w:val="28"/>
                <w:szCs w:val="28"/>
              </w:rPr>
            </w:pPr>
            <w:r>
              <w:rPr>
                <w:rFonts w:ascii="仿宋" w:hAnsi="仿宋" w:eastAsia="仿宋"/>
                <w:sz w:val="28"/>
                <w:szCs w:val="28"/>
              </w:rPr>
              <w:t>[100</w:t>
            </w:r>
            <w:r>
              <w:rPr>
                <w:rFonts w:hint="eastAsia" w:ascii="仿宋" w:hAnsi="仿宋" w:eastAsia="仿宋"/>
                <w:sz w:val="28"/>
                <w:szCs w:val="28"/>
              </w:rPr>
              <w:t>%</w:t>
            </w:r>
            <w:r>
              <w:rPr>
                <w:rFonts w:ascii="仿宋" w:hAnsi="仿宋" w:eastAsia="仿宋"/>
                <w:sz w:val="28"/>
                <w:szCs w:val="28"/>
              </w:rPr>
              <w:t>,90</w:t>
            </w:r>
            <w:r>
              <w:rPr>
                <w:rFonts w:hint="eastAsia" w:ascii="仿宋" w:hAnsi="仿宋" w:eastAsia="仿宋"/>
                <w:sz w:val="28"/>
                <w:szCs w:val="28"/>
              </w:rPr>
              <w:t>%</w:t>
            </w:r>
            <w:r>
              <w:rPr>
                <w:rFonts w:ascii="仿宋" w:hAnsi="仿宋" w:eastAsia="仿宋"/>
                <w:sz w:val="28"/>
                <w:szCs w:val="28"/>
              </w:rPr>
              <w:t>]</w:t>
            </w:r>
          </w:p>
        </w:tc>
        <w:tc>
          <w:tcPr>
            <w:tcW w:w="1639" w:type="dxa"/>
            <w:shd w:val="clear" w:color="auto" w:fill="auto"/>
            <w:noWrap/>
            <w:vAlign w:val="center"/>
          </w:tcPr>
          <w:p w14:paraId="2CBFE303">
            <w:pPr>
              <w:jc w:val="center"/>
              <w:rPr>
                <w:rFonts w:ascii="仿宋" w:hAnsi="仿宋" w:eastAsia="仿宋"/>
                <w:sz w:val="28"/>
                <w:szCs w:val="28"/>
              </w:rPr>
            </w:pPr>
            <w:r>
              <w:rPr>
                <w:rFonts w:ascii="仿宋" w:hAnsi="仿宋" w:eastAsia="仿宋"/>
                <w:sz w:val="28"/>
                <w:szCs w:val="28"/>
              </w:rPr>
              <w:t>(90</w:t>
            </w:r>
            <w:r>
              <w:rPr>
                <w:rFonts w:hint="eastAsia" w:ascii="仿宋" w:hAnsi="仿宋" w:eastAsia="仿宋"/>
                <w:sz w:val="28"/>
                <w:szCs w:val="28"/>
              </w:rPr>
              <w:t>%</w:t>
            </w:r>
            <w:r>
              <w:rPr>
                <w:rFonts w:ascii="仿宋" w:hAnsi="仿宋" w:eastAsia="仿宋"/>
                <w:sz w:val="28"/>
                <w:szCs w:val="28"/>
              </w:rPr>
              <w:t>,80</w:t>
            </w:r>
            <w:r>
              <w:rPr>
                <w:rFonts w:hint="eastAsia" w:ascii="仿宋" w:hAnsi="仿宋" w:eastAsia="仿宋"/>
                <w:sz w:val="28"/>
                <w:szCs w:val="28"/>
              </w:rPr>
              <w:t>%</w:t>
            </w:r>
            <w:r>
              <w:rPr>
                <w:rFonts w:ascii="仿宋" w:hAnsi="仿宋" w:eastAsia="仿宋"/>
                <w:sz w:val="28"/>
                <w:szCs w:val="28"/>
              </w:rPr>
              <w:t>]</w:t>
            </w:r>
          </w:p>
        </w:tc>
        <w:tc>
          <w:tcPr>
            <w:tcW w:w="1488" w:type="dxa"/>
            <w:shd w:val="clear" w:color="auto" w:fill="auto"/>
            <w:noWrap/>
            <w:vAlign w:val="center"/>
          </w:tcPr>
          <w:p w14:paraId="5874C115">
            <w:pPr>
              <w:jc w:val="center"/>
              <w:rPr>
                <w:rFonts w:ascii="仿宋" w:hAnsi="仿宋" w:eastAsia="仿宋"/>
                <w:sz w:val="28"/>
                <w:szCs w:val="28"/>
              </w:rPr>
            </w:pPr>
            <w:r>
              <w:rPr>
                <w:rFonts w:ascii="仿宋" w:hAnsi="仿宋" w:eastAsia="仿宋"/>
                <w:sz w:val="28"/>
                <w:szCs w:val="28"/>
              </w:rPr>
              <w:t>(80</w:t>
            </w:r>
            <w:r>
              <w:rPr>
                <w:rFonts w:hint="eastAsia" w:ascii="仿宋" w:hAnsi="仿宋" w:eastAsia="仿宋"/>
                <w:sz w:val="28"/>
                <w:szCs w:val="28"/>
              </w:rPr>
              <w:t>%</w:t>
            </w:r>
            <w:r>
              <w:rPr>
                <w:rFonts w:ascii="仿宋" w:hAnsi="仿宋" w:eastAsia="仿宋"/>
                <w:sz w:val="28"/>
                <w:szCs w:val="28"/>
              </w:rPr>
              <w:t>,60</w:t>
            </w:r>
            <w:r>
              <w:rPr>
                <w:rFonts w:hint="eastAsia" w:ascii="仿宋" w:hAnsi="仿宋" w:eastAsia="仿宋"/>
                <w:sz w:val="28"/>
                <w:szCs w:val="28"/>
              </w:rPr>
              <w:t>%</w:t>
            </w:r>
            <w:r>
              <w:rPr>
                <w:rFonts w:ascii="仿宋" w:hAnsi="仿宋" w:eastAsia="仿宋"/>
                <w:sz w:val="28"/>
                <w:szCs w:val="28"/>
              </w:rPr>
              <w:t>]</w:t>
            </w:r>
          </w:p>
        </w:tc>
        <w:tc>
          <w:tcPr>
            <w:tcW w:w="1489" w:type="dxa"/>
            <w:shd w:val="clear" w:color="auto" w:fill="auto"/>
            <w:noWrap/>
            <w:vAlign w:val="center"/>
          </w:tcPr>
          <w:p w14:paraId="1220180D">
            <w:pPr>
              <w:jc w:val="center"/>
              <w:rPr>
                <w:rFonts w:ascii="仿宋" w:hAnsi="仿宋" w:eastAsia="仿宋"/>
                <w:sz w:val="28"/>
                <w:szCs w:val="28"/>
              </w:rPr>
            </w:pPr>
            <w:r>
              <w:rPr>
                <w:rFonts w:ascii="仿宋" w:hAnsi="仿宋" w:eastAsia="仿宋"/>
                <w:sz w:val="28"/>
                <w:szCs w:val="28"/>
              </w:rPr>
              <w:t>(60</w:t>
            </w:r>
            <w:r>
              <w:rPr>
                <w:rFonts w:hint="eastAsia" w:ascii="仿宋" w:hAnsi="仿宋" w:eastAsia="仿宋"/>
                <w:sz w:val="28"/>
                <w:szCs w:val="28"/>
              </w:rPr>
              <w:t>%</w:t>
            </w:r>
            <w:r>
              <w:rPr>
                <w:rFonts w:ascii="仿宋" w:hAnsi="仿宋" w:eastAsia="仿宋"/>
                <w:sz w:val="28"/>
                <w:szCs w:val="28"/>
              </w:rPr>
              <w:t>,0</w:t>
            </w:r>
            <w:r>
              <w:rPr>
                <w:rFonts w:hint="eastAsia" w:ascii="仿宋" w:hAnsi="仿宋" w:eastAsia="仿宋"/>
                <w:sz w:val="28"/>
                <w:szCs w:val="28"/>
              </w:rPr>
              <w:t>%</w:t>
            </w:r>
            <w:r>
              <w:rPr>
                <w:rFonts w:ascii="仿宋" w:hAnsi="仿宋" w:eastAsia="仿宋"/>
                <w:sz w:val="28"/>
                <w:szCs w:val="28"/>
              </w:rPr>
              <w:t>]</w:t>
            </w:r>
          </w:p>
        </w:tc>
      </w:tr>
    </w:tbl>
    <w:p w14:paraId="79FDE38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7、绩效评价框架</w:t>
      </w:r>
    </w:p>
    <w:p w14:paraId="1C0DE1B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参考《项目支出绩效评价管理办法》附2《项目支出绩效评价指标体系框架（参考）》，结合安全生产及维稳工作特点，主要从“决策”、“过程”、“产出”、“效果”四个维度对绩效目标进行逐项分解，从定性与定量两个角度综合考量、评价，对项目绩效做出全面、客观、公正的评价。</w:t>
      </w:r>
    </w:p>
    <w:p w14:paraId="5B99347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 “决策”权重10分，下设“项目立项”、“绩效目标”、“资金投入”三个二级指标，主要评价项目立项规范性、绩效目标合理性、预算编制科学性、以及资金分配合理性，相应下设4个三级指标。</w:t>
      </w:r>
    </w:p>
    <w:p w14:paraId="1F7EDDA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过程”权重20分，下设“资金管理”和“组织实施”两个二级指标，分别从资金管理和组织实施两个维度评价与项目相关的制度健全性及制度执行有效性，同时关注项目质量可控性及资金使用合规性，相应设置6个三级指标。</w:t>
      </w:r>
    </w:p>
    <w:p w14:paraId="61090A8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“产出”权重40分，下设“产出数量”、“产出质量”以及“产出时效”三个二级指标，主要评价项目的产出数量目标的实现程度和项目产出质量目标的实现程度，下设</w:t>
      </w:r>
      <w:r>
        <w:rPr>
          <w:rFonts w:ascii="Times New Roman" w:hAnsi="Times New Roman" w:eastAsia="仿宋_GB2312" w:cs="Times New Roman"/>
          <w:sz w:val="32"/>
          <w:szCs w:val="32"/>
        </w:rPr>
        <w:t>13</w:t>
      </w:r>
      <w:r>
        <w:rPr>
          <w:rFonts w:hint="eastAsia" w:ascii="Times New Roman" w:hAnsi="Times New Roman" w:eastAsia="仿宋_GB2312" w:cs="Times New Roman"/>
          <w:sz w:val="32"/>
          <w:szCs w:val="32"/>
        </w:rPr>
        <w:t>个三级指标具体评价。</w:t>
      </w:r>
    </w:p>
    <w:p w14:paraId="32E5E13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“效果”权重30分，下设““社会效益”以及“满意度”两个二级指标，主要评价项目实施后的社会效益和服务对象满意度，下设5个三级指标具体评价。</w:t>
      </w:r>
    </w:p>
    <w:p w14:paraId="0FA3B91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具体指标的分布情况、权重、指标解释、指标说明见附件《安全生产及维稳经费项目绩效评价指标体系及评分表》。</w:t>
      </w:r>
    </w:p>
    <w:p w14:paraId="4273FA38">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（三）绩效评价工作过程。</w:t>
      </w:r>
    </w:p>
    <w:p w14:paraId="0316A7F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1、评价实施过程</w:t>
      </w:r>
    </w:p>
    <w:p w14:paraId="1736DAF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绩效评价工作分三个阶段进行，包括前期准备阶段、评价实施阶段和报告阶段。</w:t>
      </w:r>
    </w:p>
    <w:p w14:paraId="2E7C0C7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a、前期准备阶段</w:t>
      </w:r>
    </w:p>
    <w:p w14:paraId="67F6A83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（1）整理基础资料，了解项目情况；</w:t>
      </w:r>
    </w:p>
    <w:p w14:paraId="7CA10DC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（2）制定绩效评价初步实施方案，包括时间安排、工作步骤、人员分工等；</w:t>
      </w:r>
    </w:p>
    <w:p w14:paraId="499AF23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（3）草拟评价指标体系及评价标准、访谈提纲、基础数据表及资料清单等。</w:t>
      </w:r>
    </w:p>
    <w:p w14:paraId="584B47A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b、评价实施阶段</w:t>
      </w:r>
    </w:p>
    <w:p w14:paraId="5B08AE6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（1）与各相关部门、关键岗位人员进行座谈访谈，了解项目运营和管理状况，业务操作流程；</w:t>
      </w:r>
    </w:p>
    <w:p w14:paraId="771886D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（2）收集政策、文件、操作记录，审核、分析资料信息；</w:t>
      </w:r>
    </w:p>
    <w:p w14:paraId="02FA51A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（3）不断修改完善评价指标体系，形成初步评价结论，适时与项目实施部门反馈交流；</w:t>
      </w:r>
    </w:p>
    <w:p w14:paraId="581C5D0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c、报告阶段</w:t>
      </w:r>
    </w:p>
    <w:p w14:paraId="532A713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（1）综合分析评价信息，汇总指标评分情况，撰写绩效评价报告（征求意见稿）；</w:t>
      </w:r>
    </w:p>
    <w:p w14:paraId="112B264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）综合各方反馈意见对报告加以修改完善，定稿并向东湖高新区财政局提交绩效评价报告正式版。</w:t>
      </w:r>
    </w:p>
    <w:p w14:paraId="3F67B18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）后期及时归档绩效评价资料。</w:t>
      </w:r>
    </w:p>
    <w:p w14:paraId="0811818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2、证据收集方法</w:t>
      </w:r>
    </w:p>
    <w:p w14:paraId="22A3AFF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安全生产及维稳经费项目绩效评价计划采取深入项目单位访谈座谈、查阅资料、现场抽查等证据收集方法，从各相关部门及关联方获取大量高质量和准确可靠的数据信息。</w:t>
      </w:r>
    </w:p>
    <w:p w14:paraId="74E1579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（1）查阅资料。收集与绩效评价有关的政策文件资料、会计核算资料、管理制度及相关执行记录等，并进行深入研究、比较和分析，获取绩效评价所需的证据资料。</w:t>
      </w:r>
    </w:p>
    <w:p w14:paraId="03E9CD1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（2）访谈座谈。通过对九峰街道办事处各相关部门及关键岗位人员进行访谈座谈，了解有关管理和业务工作开展情况，获取相关人员的工作状态和心理状态，提高资料获取的效率和精准性。</w:t>
      </w:r>
    </w:p>
    <w:p w14:paraId="2B3A90D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（3）现场抽查。随机抽取部分项目所涉单位的相关资料进行查看、核实。</w:t>
      </w:r>
    </w:p>
    <w:p w14:paraId="7653004C">
      <w:pPr>
        <w:spacing w:line="60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color w:val="000000"/>
          <w:kern w:val="0"/>
          <w:sz w:val="32"/>
          <w:szCs w:val="32"/>
          <w:lang w:bidi="ar"/>
        </w:rPr>
        <w:t>三、综合评价情况及评价结论（</w:t>
      </w:r>
      <w:r>
        <w:rPr>
          <w:rFonts w:ascii="Times New Roman" w:hAnsi="Times New Roman" w:eastAsia="仿宋_GB2312" w:cs="Times New Roman"/>
          <w:sz w:val="32"/>
          <w:szCs w:val="32"/>
        </w:rPr>
        <w:t>附相关评分表）</w:t>
      </w:r>
    </w:p>
    <w:p w14:paraId="50DB4D6A">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（一）评分结果</w:t>
      </w:r>
    </w:p>
    <w:p w14:paraId="38890D40">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项目绩效评价综合得分为</w:t>
      </w:r>
      <w:r>
        <w:rPr>
          <w:rFonts w:ascii="Times New Roman" w:hAnsi="Times New Roman" w:eastAsia="仿宋_GB2312" w:cs="Times New Roman"/>
          <w:sz w:val="32"/>
          <w:szCs w:val="32"/>
        </w:rPr>
        <w:t>92.88</w:t>
      </w:r>
      <w:r>
        <w:rPr>
          <w:rFonts w:hint="eastAsia" w:ascii="Times New Roman" w:hAnsi="Times New Roman" w:eastAsia="仿宋_GB2312" w:cs="Times New Roman"/>
          <w:sz w:val="32"/>
          <w:szCs w:val="32"/>
        </w:rPr>
        <w:t>分，评价等级为优（A）。其中决策得1</w:t>
      </w:r>
      <w:r>
        <w:rPr>
          <w:rFonts w:ascii="Times New Roman" w:hAnsi="Times New Roman" w:eastAsia="仿宋_GB2312" w:cs="Times New Roman"/>
          <w:sz w:val="32"/>
          <w:szCs w:val="32"/>
        </w:rPr>
        <w:t>0</w:t>
      </w:r>
      <w:r>
        <w:rPr>
          <w:rFonts w:hint="eastAsia" w:ascii="Times New Roman" w:hAnsi="Times New Roman" w:eastAsia="仿宋_GB2312" w:cs="Times New Roman"/>
          <w:sz w:val="32"/>
          <w:szCs w:val="32"/>
        </w:rPr>
        <w:t>分，过程得</w:t>
      </w:r>
      <w:r>
        <w:rPr>
          <w:rFonts w:ascii="Times New Roman" w:hAnsi="Times New Roman" w:eastAsia="仿宋_GB2312" w:cs="Times New Roman"/>
          <w:sz w:val="32"/>
          <w:szCs w:val="32"/>
        </w:rPr>
        <w:t>19.88</w:t>
      </w:r>
      <w:r>
        <w:rPr>
          <w:rFonts w:hint="eastAsia" w:ascii="Times New Roman" w:hAnsi="Times New Roman" w:eastAsia="仿宋_GB2312" w:cs="Times New Roman"/>
          <w:sz w:val="32"/>
          <w:szCs w:val="32"/>
        </w:rPr>
        <w:t>分，产出得</w:t>
      </w:r>
      <w:r>
        <w:rPr>
          <w:rFonts w:ascii="Times New Roman" w:hAnsi="Times New Roman" w:eastAsia="仿宋_GB2312" w:cs="Times New Roman"/>
          <w:sz w:val="32"/>
          <w:szCs w:val="32"/>
        </w:rPr>
        <w:t>35</w:t>
      </w:r>
      <w:r>
        <w:rPr>
          <w:rFonts w:hint="eastAsia" w:ascii="Times New Roman" w:hAnsi="Times New Roman" w:eastAsia="仿宋_GB2312" w:cs="Times New Roman"/>
          <w:sz w:val="32"/>
          <w:szCs w:val="32"/>
        </w:rPr>
        <w:t>分，效果得</w:t>
      </w:r>
      <w:r>
        <w:rPr>
          <w:rFonts w:ascii="Times New Roman" w:hAnsi="Times New Roman" w:eastAsia="仿宋_GB2312" w:cs="Times New Roman"/>
          <w:sz w:val="32"/>
          <w:szCs w:val="32"/>
        </w:rPr>
        <w:t>28</w:t>
      </w:r>
      <w:r>
        <w:rPr>
          <w:rFonts w:hint="eastAsia" w:ascii="Times New Roman" w:hAnsi="Times New Roman" w:eastAsia="仿宋_GB2312" w:cs="Times New Roman"/>
          <w:sz w:val="32"/>
          <w:szCs w:val="32"/>
        </w:rPr>
        <w:t>分。下图为各指标得分情况：</w:t>
      </w:r>
    </w:p>
    <w:tbl>
      <w:tblPr>
        <w:tblStyle w:val="8"/>
        <w:tblW w:w="839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1434"/>
        <w:gridCol w:w="1434"/>
        <w:gridCol w:w="1435"/>
        <w:gridCol w:w="1434"/>
        <w:gridCol w:w="1435"/>
      </w:tblGrid>
      <w:tr w14:paraId="6D5521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8" w:type="dxa"/>
            <w:tcBorders>
              <w:top w:val="single" w:color="auto" w:sz="12" w:space="0"/>
              <w:bottom w:val="single" w:color="auto" w:sz="4" w:space="0"/>
            </w:tcBorders>
            <w:shd w:val="clear" w:color="auto" w:fill="D8D8D8" w:themeFill="background1" w:themeFillShade="D9"/>
            <w:noWrap/>
            <w:vAlign w:val="center"/>
          </w:tcPr>
          <w:p w14:paraId="168B1D59">
            <w:pPr>
              <w:jc w:val="center"/>
              <w:rPr>
                <w:rFonts w:ascii="仿宋" w:hAnsi="仿宋" w:eastAsia="仿宋"/>
                <w:b/>
                <w:bCs/>
                <w:sz w:val="24"/>
              </w:rPr>
            </w:pPr>
            <w:r>
              <w:rPr>
                <w:rFonts w:hint="eastAsia" w:ascii="仿宋" w:hAnsi="仿宋" w:eastAsia="仿宋"/>
                <w:b/>
                <w:bCs/>
                <w:sz w:val="24"/>
              </w:rPr>
              <w:t>项目</w:t>
            </w:r>
          </w:p>
        </w:tc>
        <w:tc>
          <w:tcPr>
            <w:tcW w:w="1434" w:type="dxa"/>
            <w:tcBorders>
              <w:top w:val="single" w:color="auto" w:sz="12" w:space="0"/>
              <w:bottom w:val="single" w:color="auto" w:sz="4" w:space="0"/>
            </w:tcBorders>
            <w:shd w:val="clear" w:color="auto" w:fill="D8D8D8" w:themeFill="background1" w:themeFillShade="D9"/>
            <w:noWrap/>
            <w:vAlign w:val="center"/>
          </w:tcPr>
          <w:p w14:paraId="71F1AB88">
            <w:pPr>
              <w:jc w:val="center"/>
              <w:rPr>
                <w:rFonts w:ascii="仿宋" w:hAnsi="仿宋" w:eastAsia="仿宋"/>
                <w:b/>
                <w:bCs/>
                <w:sz w:val="24"/>
              </w:rPr>
            </w:pPr>
            <w:r>
              <w:rPr>
                <w:rFonts w:hint="eastAsia" w:ascii="仿宋" w:hAnsi="仿宋" w:eastAsia="仿宋"/>
                <w:b/>
                <w:bCs/>
                <w:sz w:val="24"/>
              </w:rPr>
              <w:t>决策</w:t>
            </w:r>
          </w:p>
        </w:tc>
        <w:tc>
          <w:tcPr>
            <w:tcW w:w="1434" w:type="dxa"/>
            <w:tcBorders>
              <w:top w:val="single" w:color="auto" w:sz="12" w:space="0"/>
              <w:bottom w:val="single" w:color="auto" w:sz="4" w:space="0"/>
            </w:tcBorders>
            <w:shd w:val="clear" w:color="auto" w:fill="D8D8D8" w:themeFill="background1" w:themeFillShade="D9"/>
            <w:noWrap/>
            <w:vAlign w:val="center"/>
          </w:tcPr>
          <w:p w14:paraId="5F4E7631">
            <w:pPr>
              <w:jc w:val="center"/>
              <w:rPr>
                <w:rFonts w:ascii="仿宋" w:hAnsi="仿宋" w:eastAsia="仿宋"/>
                <w:b/>
                <w:bCs/>
                <w:sz w:val="24"/>
              </w:rPr>
            </w:pPr>
            <w:r>
              <w:rPr>
                <w:rFonts w:hint="eastAsia" w:ascii="仿宋" w:hAnsi="仿宋" w:eastAsia="仿宋"/>
                <w:b/>
                <w:bCs/>
                <w:sz w:val="24"/>
              </w:rPr>
              <w:t>过程</w:t>
            </w:r>
          </w:p>
        </w:tc>
        <w:tc>
          <w:tcPr>
            <w:tcW w:w="1435" w:type="dxa"/>
            <w:tcBorders>
              <w:top w:val="single" w:color="auto" w:sz="12" w:space="0"/>
              <w:bottom w:val="single" w:color="auto" w:sz="4" w:space="0"/>
            </w:tcBorders>
            <w:shd w:val="clear" w:color="auto" w:fill="D8D8D8" w:themeFill="background1" w:themeFillShade="D9"/>
            <w:noWrap/>
            <w:vAlign w:val="center"/>
          </w:tcPr>
          <w:p w14:paraId="60192452">
            <w:pPr>
              <w:jc w:val="center"/>
              <w:rPr>
                <w:rFonts w:ascii="仿宋" w:hAnsi="仿宋" w:eastAsia="仿宋"/>
                <w:b/>
                <w:bCs/>
                <w:sz w:val="24"/>
              </w:rPr>
            </w:pPr>
            <w:r>
              <w:rPr>
                <w:rFonts w:hint="eastAsia" w:ascii="仿宋" w:hAnsi="仿宋" w:eastAsia="仿宋"/>
                <w:b/>
                <w:bCs/>
                <w:sz w:val="24"/>
              </w:rPr>
              <w:t>产出</w:t>
            </w:r>
          </w:p>
        </w:tc>
        <w:tc>
          <w:tcPr>
            <w:tcW w:w="1434" w:type="dxa"/>
            <w:tcBorders>
              <w:top w:val="single" w:color="auto" w:sz="12" w:space="0"/>
              <w:bottom w:val="single" w:color="auto" w:sz="4" w:space="0"/>
            </w:tcBorders>
            <w:shd w:val="clear" w:color="auto" w:fill="D8D8D8" w:themeFill="background1" w:themeFillShade="D9"/>
            <w:noWrap/>
            <w:vAlign w:val="center"/>
          </w:tcPr>
          <w:p w14:paraId="3F93348E">
            <w:pPr>
              <w:jc w:val="center"/>
              <w:rPr>
                <w:rFonts w:ascii="仿宋" w:hAnsi="仿宋" w:eastAsia="仿宋"/>
                <w:b/>
                <w:bCs/>
                <w:sz w:val="24"/>
              </w:rPr>
            </w:pPr>
            <w:r>
              <w:rPr>
                <w:rFonts w:hint="eastAsia" w:ascii="仿宋" w:hAnsi="仿宋" w:eastAsia="仿宋"/>
                <w:b/>
                <w:bCs/>
                <w:sz w:val="24"/>
              </w:rPr>
              <w:t>效果</w:t>
            </w:r>
          </w:p>
        </w:tc>
        <w:tc>
          <w:tcPr>
            <w:tcW w:w="1435" w:type="dxa"/>
            <w:tcBorders>
              <w:top w:val="single" w:color="auto" w:sz="12" w:space="0"/>
              <w:bottom w:val="single" w:color="auto" w:sz="4" w:space="0"/>
            </w:tcBorders>
            <w:shd w:val="clear" w:color="auto" w:fill="D8D8D8" w:themeFill="background1" w:themeFillShade="D9"/>
            <w:vAlign w:val="center"/>
          </w:tcPr>
          <w:p w14:paraId="0D541277">
            <w:pPr>
              <w:jc w:val="center"/>
              <w:rPr>
                <w:rFonts w:ascii="仿宋" w:hAnsi="仿宋" w:eastAsia="仿宋"/>
                <w:b/>
                <w:bCs/>
                <w:sz w:val="24"/>
              </w:rPr>
            </w:pPr>
            <w:r>
              <w:rPr>
                <w:rFonts w:hint="eastAsia" w:ascii="仿宋" w:hAnsi="仿宋" w:eastAsia="仿宋"/>
                <w:b/>
                <w:bCs/>
                <w:sz w:val="24"/>
              </w:rPr>
              <w:t>合计</w:t>
            </w:r>
          </w:p>
        </w:tc>
      </w:tr>
      <w:tr w14:paraId="051344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8" w:type="dxa"/>
            <w:tcBorders>
              <w:top w:val="single" w:color="auto" w:sz="4" w:space="0"/>
            </w:tcBorders>
            <w:shd w:val="clear" w:color="auto" w:fill="auto"/>
            <w:noWrap/>
            <w:vAlign w:val="center"/>
          </w:tcPr>
          <w:p w14:paraId="75FD416E">
            <w:pPr>
              <w:jc w:val="center"/>
              <w:rPr>
                <w:rFonts w:ascii="仿宋" w:hAnsi="仿宋" w:eastAsia="仿宋"/>
                <w:sz w:val="24"/>
              </w:rPr>
            </w:pPr>
            <w:r>
              <w:rPr>
                <w:rFonts w:hint="eastAsia" w:ascii="仿宋" w:hAnsi="仿宋" w:eastAsia="仿宋"/>
                <w:sz w:val="24"/>
              </w:rPr>
              <w:t>标准分值</w:t>
            </w:r>
          </w:p>
        </w:tc>
        <w:tc>
          <w:tcPr>
            <w:tcW w:w="1434" w:type="dxa"/>
            <w:tcBorders>
              <w:top w:val="single" w:color="auto" w:sz="4" w:space="0"/>
            </w:tcBorders>
            <w:shd w:val="clear" w:color="auto" w:fill="auto"/>
            <w:noWrap/>
            <w:vAlign w:val="center"/>
          </w:tcPr>
          <w:p w14:paraId="0FC40217">
            <w:pPr>
              <w:jc w:val="center"/>
              <w:rPr>
                <w:rFonts w:ascii="仿宋" w:hAnsi="仿宋" w:eastAsia="仿宋"/>
                <w:sz w:val="24"/>
              </w:rPr>
            </w:pPr>
            <w:r>
              <w:rPr>
                <w:rFonts w:hint="eastAsia" w:ascii="仿宋" w:hAnsi="仿宋" w:eastAsia="仿宋"/>
                <w:sz w:val="24"/>
              </w:rPr>
              <w:t>10</w:t>
            </w:r>
          </w:p>
        </w:tc>
        <w:tc>
          <w:tcPr>
            <w:tcW w:w="1434" w:type="dxa"/>
            <w:tcBorders>
              <w:top w:val="single" w:color="auto" w:sz="4" w:space="0"/>
            </w:tcBorders>
            <w:shd w:val="clear" w:color="auto" w:fill="auto"/>
            <w:noWrap/>
            <w:vAlign w:val="center"/>
          </w:tcPr>
          <w:p w14:paraId="6D90D9D6">
            <w:pPr>
              <w:jc w:val="center"/>
              <w:rPr>
                <w:rFonts w:ascii="仿宋" w:hAnsi="仿宋" w:eastAsia="仿宋"/>
                <w:sz w:val="24"/>
              </w:rPr>
            </w:pPr>
            <w:r>
              <w:rPr>
                <w:rFonts w:hint="eastAsia" w:ascii="仿宋" w:hAnsi="仿宋" w:eastAsia="仿宋"/>
                <w:sz w:val="24"/>
              </w:rPr>
              <w:t>20</w:t>
            </w:r>
          </w:p>
        </w:tc>
        <w:tc>
          <w:tcPr>
            <w:tcW w:w="1435" w:type="dxa"/>
            <w:tcBorders>
              <w:top w:val="single" w:color="auto" w:sz="4" w:space="0"/>
            </w:tcBorders>
            <w:shd w:val="clear" w:color="auto" w:fill="auto"/>
            <w:noWrap/>
            <w:vAlign w:val="center"/>
          </w:tcPr>
          <w:p w14:paraId="6901CA65">
            <w:pPr>
              <w:jc w:val="center"/>
              <w:rPr>
                <w:rFonts w:ascii="仿宋" w:hAnsi="仿宋" w:eastAsia="仿宋"/>
                <w:sz w:val="24"/>
              </w:rPr>
            </w:pPr>
            <w:r>
              <w:rPr>
                <w:rFonts w:hint="eastAsia" w:ascii="仿宋" w:hAnsi="仿宋" w:eastAsia="仿宋"/>
                <w:sz w:val="24"/>
              </w:rPr>
              <w:t>40</w:t>
            </w:r>
          </w:p>
        </w:tc>
        <w:tc>
          <w:tcPr>
            <w:tcW w:w="1434" w:type="dxa"/>
            <w:tcBorders>
              <w:top w:val="single" w:color="auto" w:sz="4" w:space="0"/>
            </w:tcBorders>
            <w:shd w:val="clear" w:color="auto" w:fill="auto"/>
            <w:noWrap/>
            <w:vAlign w:val="center"/>
          </w:tcPr>
          <w:p w14:paraId="04BE7503">
            <w:pPr>
              <w:jc w:val="center"/>
              <w:rPr>
                <w:rFonts w:ascii="仿宋" w:hAnsi="仿宋" w:eastAsia="仿宋"/>
                <w:sz w:val="24"/>
              </w:rPr>
            </w:pPr>
            <w:r>
              <w:rPr>
                <w:rFonts w:hint="eastAsia" w:ascii="仿宋" w:hAnsi="仿宋" w:eastAsia="仿宋"/>
                <w:sz w:val="24"/>
              </w:rPr>
              <w:t>30</w:t>
            </w:r>
          </w:p>
        </w:tc>
        <w:tc>
          <w:tcPr>
            <w:tcW w:w="1435" w:type="dxa"/>
            <w:tcBorders>
              <w:top w:val="single" w:color="auto" w:sz="4" w:space="0"/>
            </w:tcBorders>
            <w:vAlign w:val="center"/>
          </w:tcPr>
          <w:p w14:paraId="199BB248">
            <w:pPr>
              <w:jc w:val="center"/>
              <w:rPr>
                <w:rFonts w:ascii="仿宋" w:hAnsi="仿宋" w:eastAsia="仿宋"/>
                <w:sz w:val="24"/>
              </w:rPr>
            </w:pPr>
            <w:r>
              <w:rPr>
                <w:rFonts w:hint="eastAsia" w:ascii="仿宋" w:hAnsi="仿宋" w:eastAsia="仿宋"/>
                <w:sz w:val="24"/>
              </w:rPr>
              <w:t>1</w:t>
            </w:r>
            <w:r>
              <w:rPr>
                <w:rFonts w:ascii="仿宋" w:hAnsi="仿宋" w:eastAsia="仿宋"/>
                <w:sz w:val="24"/>
              </w:rPr>
              <w:t>00</w:t>
            </w:r>
          </w:p>
        </w:tc>
      </w:tr>
      <w:tr w14:paraId="4A9EDB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8" w:type="dxa"/>
            <w:shd w:val="clear" w:color="auto" w:fill="auto"/>
            <w:noWrap/>
            <w:vAlign w:val="center"/>
          </w:tcPr>
          <w:p w14:paraId="4F455116">
            <w:pPr>
              <w:jc w:val="center"/>
              <w:rPr>
                <w:rFonts w:ascii="仿宋" w:hAnsi="仿宋" w:eastAsia="仿宋"/>
                <w:sz w:val="24"/>
              </w:rPr>
            </w:pPr>
            <w:r>
              <w:rPr>
                <w:rFonts w:hint="eastAsia" w:ascii="仿宋" w:hAnsi="仿宋" w:eastAsia="仿宋"/>
                <w:sz w:val="24"/>
              </w:rPr>
              <w:t>实际得分</w:t>
            </w:r>
          </w:p>
        </w:tc>
        <w:tc>
          <w:tcPr>
            <w:tcW w:w="1434" w:type="dxa"/>
            <w:shd w:val="clear" w:color="auto" w:fill="auto"/>
            <w:noWrap/>
            <w:vAlign w:val="center"/>
          </w:tcPr>
          <w:p w14:paraId="3144966E">
            <w:pPr>
              <w:jc w:val="center"/>
              <w:rPr>
                <w:rFonts w:ascii="仿宋" w:hAnsi="仿宋" w:eastAsia="仿宋"/>
                <w:sz w:val="24"/>
              </w:rPr>
            </w:pPr>
            <w:r>
              <w:rPr>
                <w:rFonts w:hint="eastAsia" w:ascii="仿宋" w:hAnsi="仿宋" w:eastAsia="仿宋"/>
                <w:sz w:val="24"/>
              </w:rPr>
              <w:t>10</w:t>
            </w:r>
          </w:p>
        </w:tc>
        <w:tc>
          <w:tcPr>
            <w:tcW w:w="1434" w:type="dxa"/>
            <w:shd w:val="clear" w:color="auto" w:fill="auto"/>
            <w:noWrap/>
            <w:vAlign w:val="center"/>
          </w:tcPr>
          <w:p w14:paraId="2F4BC0D8">
            <w:pPr>
              <w:jc w:val="center"/>
              <w:rPr>
                <w:rFonts w:ascii="仿宋" w:hAnsi="仿宋" w:eastAsia="仿宋"/>
                <w:sz w:val="24"/>
              </w:rPr>
            </w:pPr>
            <w:r>
              <w:rPr>
                <w:rFonts w:ascii="仿宋" w:hAnsi="仿宋" w:eastAsia="仿宋"/>
                <w:sz w:val="24"/>
              </w:rPr>
              <w:t>19.88</w:t>
            </w:r>
          </w:p>
        </w:tc>
        <w:tc>
          <w:tcPr>
            <w:tcW w:w="1435" w:type="dxa"/>
            <w:shd w:val="clear" w:color="auto" w:fill="auto"/>
            <w:noWrap/>
            <w:vAlign w:val="center"/>
          </w:tcPr>
          <w:p w14:paraId="0831F1DE">
            <w:pPr>
              <w:jc w:val="center"/>
              <w:rPr>
                <w:rFonts w:ascii="仿宋" w:hAnsi="仿宋" w:eastAsia="仿宋"/>
                <w:sz w:val="24"/>
              </w:rPr>
            </w:pPr>
            <w:r>
              <w:rPr>
                <w:rFonts w:ascii="仿宋" w:hAnsi="仿宋" w:eastAsia="仿宋"/>
                <w:sz w:val="24"/>
              </w:rPr>
              <w:t>35</w:t>
            </w:r>
          </w:p>
        </w:tc>
        <w:tc>
          <w:tcPr>
            <w:tcW w:w="1434" w:type="dxa"/>
            <w:shd w:val="clear" w:color="auto" w:fill="auto"/>
            <w:noWrap/>
            <w:vAlign w:val="center"/>
          </w:tcPr>
          <w:p w14:paraId="7F188B7D">
            <w:pPr>
              <w:jc w:val="center"/>
              <w:rPr>
                <w:rFonts w:ascii="仿宋" w:hAnsi="仿宋" w:eastAsia="仿宋"/>
                <w:sz w:val="24"/>
              </w:rPr>
            </w:pPr>
            <w:r>
              <w:rPr>
                <w:rFonts w:ascii="仿宋" w:hAnsi="仿宋" w:eastAsia="仿宋"/>
                <w:sz w:val="24"/>
              </w:rPr>
              <w:t>28</w:t>
            </w:r>
          </w:p>
        </w:tc>
        <w:tc>
          <w:tcPr>
            <w:tcW w:w="1435" w:type="dxa"/>
            <w:vAlign w:val="center"/>
          </w:tcPr>
          <w:p w14:paraId="6BAC434D">
            <w:pPr>
              <w:jc w:val="center"/>
              <w:rPr>
                <w:rFonts w:ascii="仿宋" w:hAnsi="仿宋" w:eastAsia="仿宋"/>
                <w:sz w:val="24"/>
              </w:rPr>
            </w:pPr>
            <w:r>
              <w:rPr>
                <w:rFonts w:ascii="仿宋" w:hAnsi="仿宋" w:eastAsia="仿宋"/>
                <w:sz w:val="24"/>
              </w:rPr>
              <w:t>92.88</w:t>
            </w:r>
          </w:p>
        </w:tc>
      </w:tr>
    </w:tbl>
    <w:p w14:paraId="0F01DB1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（二）主要结论</w:t>
      </w:r>
    </w:p>
    <w:p w14:paraId="553E773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综上评价，我们认为：</w:t>
      </w:r>
    </w:p>
    <w:p w14:paraId="58714B5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1、本项目申请、设立符合要求，绩效目标依据充分，符合客观实际。项目管理有效、产出效果显著、社会效益明显、满意度较高。</w:t>
      </w:r>
    </w:p>
    <w:p w14:paraId="0D64C6F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2、本项目审批制度健全，项目管理制度逐步完善，财务管理方面，资金使用合规，附件齐全，财务监控严格。</w:t>
      </w:r>
    </w:p>
    <w:p w14:paraId="6E32A51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本项目在东湖高新区政法综治办的具体指导下，在街道党工委、办事处的正确领导下，以创建“平安九峰”为主题，以人民群众满意为标准，以“打防结合，预防为主，多种手段，协同作战”为工作方针，紧紧围绕街道中心工作，狠抓街道的社会稳定和社会管理综合治理工作，有效地保障了全街社会、政治、经济、文化的协调和发展，有力地加强了社会管理防控体系的建设。</w:t>
      </w:r>
    </w:p>
    <w:p w14:paraId="62A8522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4、办公室内部工作体制机制未完全理顺。</w:t>
      </w:r>
    </w:p>
    <w:p w14:paraId="081B454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5、部分检查不够彻底，隐患整改有些不到位。</w:t>
      </w:r>
    </w:p>
    <w:p w14:paraId="0F69A9C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6、没有充分形成部门联动、齐抓共管的机制。。</w:t>
      </w:r>
    </w:p>
    <w:p w14:paraId="693F4829">
      <w:pPr>
        <w:spacing w:line="600" w:lineRule="exact"/>
        <w:ind w:firstLine="640" w:firstLineChars="200"/>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四、绩效评价指标分析</w:t>
      </w:r>
    </w:p>
    <w:p w14:paraId="3BC0441B">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（一）项目决策情况。</w:t>
      </w:r>
    </w:p>
    <w:p w14:paraId="06221DA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决策指标满分为10分，根据评价原则，决策评价得分为10分，评价结果为优。</w:t>
      </w:r>
    </w:p>
    <w:p w14:paraId="101C4FF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决策指标主要评价项目立项的规范性、绩效目标设置的合理性、预算编制科学性和资金分配合理性，下设“项目立项”、“绩效目标”以及“资金投入”三个二级指标和“项目立项规范性”、“绩效目标合理性”、“预算编制科学性”、“资金分配合理性”四个三级指标。对于投入指标的评价，主要采取查阅资料的方法，如查阅预算批复、决算表及决算报告分析、财务管理制度、绩效管理制度与相关项目制度文件、关于单位2019年度绩效目标、项目资金的收付款凭证等，了解项目绩效目标的规范性、预算执行情况，对项目投入涉及的指标打分。</w:t>
      </w:r>
    </w:p>
    <w:p w14:paraId="2934CE5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（1）项目立项规范性（3分）</w:t>
      </w:r>
    </w:p>
    <w:p w14:paraId="69DB982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项目立项规范性是指项目申请、设立过程是否符合相关要求，用以反映和考核项目立项的规范情况。</w:t>
      </w:r>
    </w:p>
    <w:p w14:paraId="2868AF6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安全生产及维稳经费项目符合相关文件规定，其相关工作内容在九峰街道办事处职能范围内，项目资金申报经东湖高新财政局批复，立项符合政策，资金按照规定的程序申请、批复和拨付，根据评分标准，得3分。</w:t>
      </w:r>
    </w:p>
    <w:p w14:paraId="531E458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（2）绩效目标合理性（3分）</w:t>
      </w:r>
    </w:p>
    <w:p w14:paraId="4B5E4BF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绩效目标合理性是指项目是否设定绩效目标和绩效指标，所设定的绩效目标和指标是否符合实际，用以反映和考核项目绩效目标与项目实施的相符情况。</w:t>
      </w:r>
    </w:p>
    <w:p w14:paraId="7B945F1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安全生产及维稳经费项目年度绩效目标具体、明确，符合绩效管理要求，目标设立合理，绩效指标具有可测性。根据评分标准，得3分。</w:t>
      </w:r>
    </w:p>
    <w:p w14:paraId="061045C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（3）预算编制科学性（2分）</w:t>
      </w:r>
    </w:p>
    <w:p w14:paraId="3951B01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预算编制科学性是指项目预算编制是否经过科学论证、有明确标准，资金额度与年度目标是否相适应，用以反映和考核项目预算编制的科学性、合理性情况。</w:t>
      </w:r>
    </w:p>
    <w:p w14:paraId="0DDD698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预算内容与项目内容匹配、预算额度测算依据充分，按标准编制预算，预算确定的项目资金量与工作任务相匹配。根据评分标准，得2分。</w:t>
      </w:r>
    </w:p>
    <w:p w14:paraId="02262D9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（4）资金分配合理性（2分）</w:t>
      </w:r>
    </w:p>
    <w:p w14:paraId="0DAFF9F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资金分配合理性是指项目预算资金分配是否有测算依据，与补助单位或地方实际是否相适应，用以反映和考核项目预算资金分配的科学性、合理性情况。</w:t>
      </w:r>
    </w:p>
    <w:p w14:paraId="57444D8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通过对项目资金的支出分析，预算资金分配依据充分，资金分配合理，与项目单位实际相适应。根据评分标准，得2分。</w:t>
      </w:r>
    </w:p>
    <w:p w14:paraId="5A019946">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（二）项目过程情况。</w:t>
      </w:r>
    </w:p>
    <w:p w14:paraId="6E6A10E6">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过程指标满分为</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分，根据评价原则，过程评价得分为</w:t>
      </w:r>
      <w:r>
        <w:rPr>
          <w:rFonts w:ascii="Times New Roman" w:hAnsi="Times New Roman" w:eastAsia="仿宋_GB2312" w:cs="Times New Roman"/>
          <w:sz w:val="32"/>
          <w:szCs w:val="32"/>
        </w:rPr>
        <w:t>19.88</w:t>
      </w:r>
      <w:r>
        <w:rPr>
          <w:rFonts w:hint="eastAsia" w:ascii="Times New Roman" w:hAnsi="Times New Roman" w:eastAsia="仿宋_GB2312" w:cs="Times New Roman"/>
          <w:sz w:val="32"/>
          <w:szCs w:val="32"/>
        </w:rPr>
        <w:t>分，评价结果为优。</w:t>
      </w:r>
    </w:p>
    <w:p w14:paraId="7BA3A1D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过程指标主要评价对项目预算控制及资产管理情况，下设“资金管理”和“组织实施”两个二级指标，再细分六个三级指标，包括“预算执行率”、“资金到位及时率”、“资金使用合规性”、“管理制度健全性”、“制度执行有效性”、“项目质量可控性”。对于过程指标的评价，主要采取了查阅资料、访谈座谈、抽查记录等方式，收集了项目单位的内控制度和财务管理制度，查看了财政专项资金的收付款凭证，核查其账务处理是否符合规范、项目质量是否可控、监管是否有效、重大项目开支是否严格按照规定履行手续等情况。对项目过程涉及的指标进行打分。</w:t>
      </w:r>
    </w:p>
    <w:p w14:paraId="4F83F99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（1）资金到位率（3分）</w:t>
      </w:r>
    </w:p>
    <w:p w14:paraId="150BCD7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资金到位执行率是指实际到位资金与预算资金的比率，用以反映和考核资金落实情况对项目实施的总体保障程度。</w:t>
      </w:r>
    </w:p>
    <w:p w14:paraId="00D6D28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该项目实际到位资金</w:t>
      </w:r>
      <w:r>
        <w:rPr>
          <w:rFonts w:ascii="Times New Roman" w:hAnsi="Times New Roman" w:eastAsia="仿宋_GB2312" w:cs="Times New Roman"/>
          <w:sz w:val="32"/>
          <w:szCs w:val="32"/>
        </w:rPr>
        <w:t>260.63</w:t>
      </w:r>
      <w:r>
        <w:rPr>
          <w:rFonts w:hint="eastAsia" w:ascii="Times New Roman" w:hAnsi="Times New Roman" w:eastAsia="仿宋_GB2312" w:cs="Times New Roman"/>
          <w:sz w:val="32"/>
          <w:szCs w:val="32"/>
        </w:rPr>
        <w:t>万元，调整后预算资金</w:t>
      </w:r>
      <w:r>
        <w:rPr>
          <w:rFonts w:ascii="Times New Roman" w:hAnsi="Times New Roman" w:eastAsia="仿宋_GB2312" w:cs="Times New Roman"/>
          <w:sz w:val="32"/>
          <w:szCs w:val="32"/>
        </w:rPr>
        <w:t>260.63</w:t>
      </w:r>
      <w:r>
        <w:rPr>
          <w:rFonts w:hint="eastAsia" w:ascii="Times New Roman" w:hAnsi="Times New Roman" w:eastAsia="仿宋_GB2312" w:cs="Times New Roman"/>
          <w:sz w:val="32"/>
          <w:szCs w:val="32"/>
        </w:rPr>
        <w:t>万元，资金到位率为</w:t>
      </w:r>
      <w:r>
        <w:rPr>
          <w:rFonts w:ascii="Times New Roman" w:hAnsi="Times New Roman" w:eastAsia="仿宋_GB2312" w:cs="Times New Roman"/>
          <w:sz w:val="32"/>
          <w:szCs w:val="32"/>
        </w:rPr>
        <w:t>100</w:t>
      </w:r>
      <w:r>
        <w:rPr>
          <w:rFonts w:hint="eastAsia" w:ascii="Times New Roman" w:hAnsi="Times New Roman" w:eastAsia="仿宋_GB2312" w:cs="Times New Roman"/>
          <w:sz w:val="32"/>
          <w:szCs w:val="32"/>
        </w:rPr>
        <w:t>%。</w:t>
      </w:r>
    </w:p>
    <w:p w14:paraId="4C5785F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分。</w:t>
      </w:r>
    </w:p>
    <w:p w14:paraId="54BC524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（2）预算执行率（4分）</w:t>
      </w:r>
    </w:p>
    <w:p w14:paraId="57ACDCB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指标解释：预算执行率是指项目预算资金是否按照计划执行，用以反映或考核项目预算执行情况。</w:t>
      </w:r>
    </w:p>
    <w:p w14:paraId="1D9BFC1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该项目实际支出</w:t>
      </w:r>
      <w:r>
        <w:rPr>
          <w:rFonts w:ascii="Times New Roman" w:hAnsi="Times New Roman" w:eastAsia="仿宋_GB2312" w:cs="Times New Roman"/>
          <w:sz w:val="32"/>
          <w:szCs w:val="32"/>
        </w:rPr>
        <w:t>260.32</w:t>
      </w:r>
      <w:r>
        <w:rPr>
          <w:rFonts w:hint="eastAsia" w:ascii="Times New Roman" w:hAnsi="Times New Roman" w:eastAsia="仿宋_GB2312" w:cs="Times New Roman"/>
          <w:sz w:val="32"/>
          <w:szCs w:val="32"/>
        </w:rPr>
        <w:t>万元,实际到位资金</w:t>
      </w:r>
      <w:r>
        <w:rPr>
          <w:rFonts w:ascii="Times New Roman" w:hAnsi="Times New Roman" w:eastAsia="仿宋_GB2312" w:cs="Times New Roman"/>
          <w:sz w:val="32"/>
          <w:szCs w:val="32"/>
        </w:rPr>
        <w:t>260.63</w:t>
      </w:r>
      <w:r>
        <w:rPr>
          <w:rFonts w:hint="eastAsia" w:ascii="Times New Roman" w:hAnsi="Times New Roman" w:eastAsia="仿宋_GB2312" w:cs="Times New Roman"/>
          <w:sz w:val="32"/>
          <w:szCs w:val="32"/>
        </w:rPr>
        <w:t>万元，预算执行率为</w:t>
      </w:r>
      <w:r>
        <w:rPr>
          <w:rFonts w:ascii="Times New Roman" w:hAnsi="Times New Roman" w:eastAsia="仿宋_GB2312" w:cs="Times New Roman"/>
          <w:sz w:val="32"/>
          <w:szCs w:val="32"/>
        </w:rPr>
        <w:t>99.88</w:t>
      </w:r>
      <w:r>
        <w:rPr>
          <w:rFonts w:hint="eastAsia" w:ascii="Times New Roman" w:hAnsi="Times New Roman" w:eastAsia="仿宋_GB2312" w:cs="Times New Roman"/>
          <w:sz w:val="32"/>
          <w:szCs w:val="32"/>
        </w:rPr>
        <w:t>%。</w:t>
      </w:r>
    </w:p>
    <w:p w14:paraId="0422231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根据评分标准，扣0</w:t>
      </w:r>
      <w:r>
        <w:rPr>
          <w:rFonts w:ascii="Times New Roman" w:hAnsi="Times New Roman" w:eastAsia="仿宋_GB2312" w:cs="Times New Roman"/>
          <w:sz w:val="32"/>
          <w:szCs w:val="32"/>
        </w:rPr>
        <w:t>.12</w:t>
      </w:r>
      <w:r>
        <w:rPr>
          <w:rFonts w:hint="eastAsia" w:ascii="Times New Roman" w:hAnsi="Times New Roman" w:eastAsia="仿宋_GB2312" w:cs="Times New Roman"/>
          <w:sz w:val="32"/>
          <w:szCs w:val="32"/>
        </w:rPr>
        <w:t>分，得</w:t>
      </w:r>
      <w:r>
        <w:rPr>
          <w:rFonts w:ascii="Times New Roman" w:hAnsi="Times New Roman" w:eastAsia="仿宋_GB2312" w:cs="Times New Roman"/>
          <w:sz w:val="32"/>
          <w:szCs w:val="32"/>
        </w:rPr>
        <w:t>3.88</w:t>
      </w:r>
      <w:r>
        <w:rPr>
          <w:rFonts w:hint="eastAsia" w:ascii="Times New Roman" w:hAnsi="Times New Roman" w:eastAsia="仿宋_GB2312" w:cs="Times New Roman"/>
          <w:sz w:val="32"/>
          <w:szCs w:val="32"/>
        </w:rPr>
        <w:t>分。</w:t>
      </w:r>
    </w:p>
    <w:p w14:paraId="2CA9206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（3）资金使用合规性（4分）</w:t>
      </w:r>
    </w:p>
    <w:p w14:paraId="6F4D746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资金使用合规性是指项目资金使用是否符合相关的财务管理制度规定，用以反映和考核项目资金的规范运行情况。</w:t>
      </w:r>
    </w:p>
    <w:p w14:paraId="09774A7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通过查阅项目资金支出情况，抽查部分付款会计凭证，未发现明显异常，相关支付均系审批后按照规定流程付款。</w:t>
      </w:r>
    </w:p>
    <w:p w14:paraId="40718AB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根据评分标准，得4分。</w:t>
      </w:r>
    </w:p>
    <w:p w14:paraId="5EE4024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（4）管理制度健全性（3分）</w:t>
      </w:r>
    </w:p>
    <w:p w14:paraId="6C38F9B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管理制度健全性是指项目管理制度是否健全，用以反映和考核项目管理制度对项目顺利实施的保障情况。</w:t>
      </w:r>
    </w:p>
    <w:p w14:paraId="60D0049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通过查阅相关管理制度文件、绩效文件以及预算文件，未发现异常，管理制度清晰，项目管理制度合法合规。</w:t>
      </w:r>
    </w:p>
    <w:p w14:paraId="274C25E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根据评分标准，得3分。</w:t>
      </w:r>
    </w:p>
    <w:p w14:paraId="2F564EE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（5）制度执行有效性（3分）</w:t>
      </w:r>
    </w:p>
    <w:p w14:paraId="1D1ED5A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制度执行有效性是项目实施是否符合相关项目管理规定，用以反映和考核项目管理制度的有效执行情况。</w:t>
      </w:r>
    </w:p>
    <w:p w14:paraId="42F755A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通过询问及查看项目档案，发现项目档案均能及时归档。</w:t>
      </w:r>
    </w:p>
    <w:p w14:paraId="259E271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分。</w:t>
      </w:r>
    </w:p>
    <w:p w14:paraId="3F4F3A8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（6）项目质量可控性（3分）</w:t>
      </w:r>
    </w:p>
    <w:p w14:paraId="5D8559A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项目质量可控性是指项目实施单位是否为达到项目质量要求而采取了必需的措施,用以反映和考核项目实施单位对项目质量的控制情况。</w:t>
      </w:r>
    </w:p>
    <w:p w14:paraId="5FCE661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通过查阅相关文件及验收报告，未发现异常。</w:t>
      </w:r>
    </w:p>
    <w:p w14:paraId="766DAC1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根据评分标准，得3分。</w:t>
      </w:r>
    </w:p>
    <w:p w14:paraId="0A61E7A0">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（三）项目产出情况。</w:t>
      </w:r>
    </w:p>
    <w:p w14:paraId="79CBF2B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产出指标满分为40分，根据评价原则，产出评价得分为</w:t>
      </w:r>
      <w:r>
        <w:rPr>
          <w:rFonts w:ascii="Times New Roman" w:hAnsi="Times New Roman" w:eastAsia="仿宋_GB2312" w:cs="Times New Roman"/>
          <w:sz w:val="32"/>
          <w:szCs w:val="32"/>
        </w:rPr>
        <w:t>35</w:t>
      </w:r>
      <w:r>
        <w:rPr>
          <w:rFonts w:hint="eastAsia" w:ascii="Times New Roman" w:hAnsi="Times New Roman" w:eastAsia="仿宋_GB2312" w:cs="Times New Roman"/>
          <w:sz w:val="32"/>
          <w:szCs w:val="32"/>
        </w:rPr>
        <w:t>分，评价结果为优。</w:t>
      </w:r>
    </w:p>
    <w:p w14:paraId="657A4AC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产出指标主要评价项目实施完成情况，包括完成数量、质量的完成程度和实效性。下设“产出数量”、“产出质量”以及“产出时效”3个二级指标，再细分1</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个三级指标。对于产出指标的评价，主要采取了查阅资料、进行资料收集、整理和分析，收集了与各项指标相关的项目资料，了解项目的具体产出情况及成果，对项目产出涉及的指标进行打分并逐级加权计算结果。</w:t>
      </w:r>
    </w:p>
    <w:p w14:paraId="73A3F12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（1）普法宣传活动次数（2分）</w:t>
      </w:r>
    </w:p>
    <w:p w14:paraId="2923E09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组织开展法治宣传主题活动，为全面推进“七五”普法规划实施，九峰街道在辖区内开展“法律进校园赠书活动”、“法律进社区消防安全知识讲座”、“反邪教敏感日控稳宣传活动”、“4.15法律知识学习考试”“全民国家安全教育日宣传教育活动”“平安创建普法知识文艺汇演”“未成年人保护法知识讲座”“喜迎军运 与法同行文艺汇演”“基层百姓普法讲座”“禁毒宣传活动”等，截止11月25日共开展29次法治宣传活动，参与人数4400余人，张贴宣传图和横幅150余份、发放普法书籍1200余本、发放宣传品2000余份。</w:t>
      </w:r>
    </w:p>
    <w:p w14:paraId="625F304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分。</w:t>
      </w:r>
    </w:p>
    <w:p w14:paraId="7366846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（2）扫黑除恶宣传活动次数（2分）</w:t>
      </w:r>
    </w:p>
    <w:p w14:paraId="5D33D9D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督促各社区从4月29日集中开展入户宣传、电子屏滚动播放、楼栋张贴宣传单、广播播放相关内容等日常规定宣传工作，并于5月27日在王店社区居民活动广场举办“一感一度一率一评价”大型文艺汇演暨平安创建扫黑除恶宣传活动。</w:t>
      </w:r>
    </w:p>
    <w:p w14:paraId="66AC0A1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分。</w:t>
      </w:r>
    </w:p>
    <w:p w14:paraId="3EF3837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（3）社区网格员培训次数（2分）</w:t>
      </w:r>
    </w:p>
    <w:p w14:paraId="30E1217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九峰街道办事处定期对社区网格员进行业务培训，提升网格员的办事能力和办事效率。2</w:t>
      </w:r>
      <w:r>
        <w:rPr>
          <w:rFonts w:ascii="Times New Roman" w:hAnsi="Times New Roman" w:eastAsia="仿宋_GB2312" w:cs="Times New Roman"/>
          <w:sz w:val="32"/>
          <w:szCs w:val="32"/>
        </w:rPr>
        <w:t>019</w:t>
      </w:r>
      <w:r>
        <w:rPr>
          <w:rFonts w:hint="eastAsia" w:ascii="Times New Roman" w:hAnsi="Times New Roman" w:eastAsia="仿宋_GB2312" w:cs="Times New Roman"/>
          <w:sz w:val="32"/>
          <w:szCs w:val="32"/>
        </w:rPr>
        <w:t>年共开展过6次集中培训。</w:t>
      </w:r>
    </w:p>
    <w:p w14:paraId="1309DCC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分。</w:t>
      </w:r>
    </w:p>
    <w:p w14:paraId="1F086BA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（4）消防演练次数（2分）</w:t>
      </w:r>
    </w:p>
    <w:p w14:paraId="503A64A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九峰街道办事处2</w:t>
      </w:r>
      <w:r>
        <w:rPr>
          <w:rFonts w:ascii="Times New Roman" w:hAnsi="Times New Roman" w:eastAsia="仿宋_GB2312" w:cs="Times New Roman"/>
          <w:sz w:val="32"/>
          <w:szCs w:val="32"/>
        </w:rPr>
        <w:t>019</w:t>
      </w:r>
      <w:r>
        <w:rPr>
          <w:rFonts w:hint="eastAsia" w:ascii="Times New Roman" w:hAnsi="Times New Roman" w:eastAsia="仿宋_GB2312" w:cs="Times New Roman"/>
          <w:sz w:val="32"/>
          <w:szCs w:val="32"/>
        </w:rPr>
        <w:t>年共组织13次消防演练。</w:t>
      </w:r>
    </w:p>
    <w:p w14:paraId="66D2F8E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分。</w:t>
      </w:r>
    </w:p>
    <w:p w14:paraId="2116378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（5）安全宣传次数（2分）</w:t>
      </w:r>
    </w:p>
    <w:p w14:paraId="5493CBE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九峰街道办事处2</w:t>
      </w:r>
      <w:r>
        <w:rPr>
          <w:rFonts w:ascii="Times New Roman" w:hAnsi="Times New Roman" w:eastAsia="仿宋_GB2312" w:cs="Times New Roman"/>
          <w:sz w:val="32"/>
          <w:szCs w:val="32"/>
        </w:rPr>
        <w:t>019</w:t>
      </w:r>
      <w:r>
        <w:rPr>
          <w:rFonts w:hint="eastAsia" w:ascii="Times New Roman" w:hAnsi="Times New Roman" w:eastAsia="仿宋_GB2312" w:cs="Times New Roman"/>
          <w:sz w:val="32"/>
          <w:szCs w:val="32"/>
        </w:rPr>
        <w:t>年共组织5次安全宣传教育。</w:t>
      </w:r>
    </w:p>
    <w:p w14:paraId="4563EDC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分。</w:t>
      </w:r>
    </w:p>
    <w:p w14:paraId="6C5C7A9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（6）安全检查次数（2分）</w:t>
      </w:r>
    </w:p>
    <w:p w14:paraId="4B9E1B6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自1月份以来，公共安全办公室共组织85余次安全大检查工作，联合有关职能部门、单位（九峰派出所、九峰工商所等）开展15余次大型安全检查工作。</w:t>
      </w:r>
    </w:p>
    <w:p w14:paraId="6975A1C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分。</w:t>
      </w:r>
    </w:p>
    <w:p w14:paraId="32D9246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（7）信访受理率（</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686BD04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九峰街道办事处阳光信访系统共办结240件，不予受理0件、自办结件226件、直接回复14件。受理率1</w:t>
      </w:r>
      <w:r>
        <w:rPr>
          <w:rFonts w:ascii="Times New Roman" w:hAnsi="Times New Roman" w:eastAsia="仿宋_GB2312" w:cs="Times New Roman"/>
          <w:sz w:val="32"/>
          <w:szCs w:val="32"/>
        </w:rPr>
        <w:t>00</w:t>
      </w:r>
      <w:r>
        <w:rPr>
          <w:rFonts w:hint="eastAsia" w:ascii="Times New Roman" w:hAnsi="Times New Roman" w:eastAsia="仿宋_GB2312" w:cs="Times New Roman"/>
          <w:sz w:val="32"/>
          <w:szCs w:val="32"/>
        </w:rPr>
        <w:t>%。</w:t>
      </w:r>
    </w:p>
    <w:p w14:paraId="03CD771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4F55E94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（8）领导干部下基层大接访活动办结率（</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5A519056">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根据市、区关于开展领导干部下基层大接访活动的相关要求，</w:t>
      </w:r>
      <w:bookmarkStart w:id="0" w:name="_GoBack"/>
      <w:bookmarkEnd w:id="0"/>
      <w:r>
        <w:rPr>
          <w:rFonts w:hint="eastAsia" w:ascii="Times New Roman" w:hAnsi="Times New Roman" w:eastAsia="仿宋_GB2312" w:cs="Times New Roman"/>
          <w:sz w:val="32"/>
          <w:szCs w:val="32"/>
          <w:lang w:eastAsia="zh-CN"/>
        </w:rPr>
        <w:t>截至目前</w:t>
      </w:r>
      <w:r>
        <w:rPr>
          <w:rFonts w:hint="eastAsia" w:ascii="Times New Roman" w:hAnsi="Times New Roman" w:eastAsia="仿宋_GB2312" w:cs="Times New Roman"/>
          <w:sz w:val="32"/>
          <w:szCs w:val="32"/>
        </w:rPr>
        <w:t>共开展11次市区领导大接访活动，接待来访群众16批26人，每一个接访案件均在规定期限内按照“三到位一处理”的要求做出书面处理意见，办结率100%。</w:t>
      </w:r>
    </w:p>
    <w:p w14:paraId="798EFD2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2DE2C6D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（9）群众来访反馈率（</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74C0E14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019</w:t>
      </w:r>
      <w:r>
        <w:rPr>
          <w:rFonts w:hint="eastAsia" w:ascii="Times New Roman" w:hAnsi="Times New Roman" w:eastAsia="仿宋_GB2312" w:cs="Times New Roman"/>
          <w:sz w:val="32"/>
          <w:szCs w:val="32"/>
        </w:rPr>
        <w:t>年共有群众来访登记25次，事件类别分别为村民社保、房屋纠纷、拆迁赔偿、家庭纠纷、邻里纠纷等问题。在职责范围内能当场解答群众来访事宜的，均当场给予解答，对于不能当场解答的，均按照工作程序安排相关人员调查办理，并按要求及时给予反馈，确保做到事事有落实，件件有回复。群众来访反馈率1</w:t>
      </w:r>
      <w:r>
        <w:rPr>
          <w:rFonts w:ascii="Times New Roman" w:hAnsi="Times New Roman" w:eastAsia="仿宋_GB2312" w:cs="Times New Roman"/>
          <w:sz w:val="32"/>
          <w:szCs w:val="32"/>
        </w:rPr>
        <w:t>00</w:t>
      </w:r>
      <w:r>
        <w:rPr>
          <w:rFonts w:hint="eastAsia" w:ascii="Times New Roman" w:hAnsi="Times New Roman" w:eastAsia="仿宋_GB2312" w:cs="Times New Roman"/>
          <w:sz w:val="32"/>
          <w:szCs w:val="32"/>
        </w:rPr>
        <w:t>%。</w:t>
      </w:r>
    </w:p>
    <w:p w14:paraId="39992BB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6FF330F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0</w:t>
      </w:r>
      <w:r>
        <w:rPr>
          <w:rFonts w:hint="eastAsia" w:ascii="Times New Roman" w:hAnsi="Times New Roman" w:eastAsia="仿宋_GB2312" w:cs="Times New Roman"/>
          <w:sz w:val="32"/>
          <w:szCs w:val="32"/>
        </w:rPr>
        <w:t>）传销人员持续“清零”（</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5226A616">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在2018年实现传销人员“清零”目标的基础上，2019年街道继续保持打传工作高压态势，保留由10人组成的打传治安巡逻队（暂时为两家第三方公司），以治安巡逻队为主、社区工作人员为辅，坚持每日在还建社区开展巡逻排查工作。街道公安办、九峰派出所、九峰市场监管所、6个还建社区、两支治安巡逻队等多方联动，在日常排查的基础上，坚持定期开展联合打击行动。同时社区开展出租房屋租赁信息登记工作，加强九峰辖区出租房屋的管理，及时准确掌握流动人口信息，建立流动人口管理和打击传销等违法行为的长效机制。截至2019年11月25日，九峰街打传工作专班共出动3365人次，上门摸排房屋3807间，排查回流（2018年传销房屋）359间，盘查可疑人员4000余人，没有发现新增传销窝点、新增涉传人员及回流情况。</w:t>
      </w:r>
    </w:p>
    <w:p w14:paraId="6B86DD8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5FA9A40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）铁路护路“不出一事”（</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3B8202A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九峰街道办事处将铁路护路工作纳入到今年的总之考核范围，制定“不出一事“的目标，由领导牵头把铁路护路联防工作落到实处。2</w:t>
      </w:r>
      <w:r>
        <w:rPr>
          <w:rFonts w:ascii="Times New Roman" w:hAnsi="Times New Roman" w:eastAsia="仿宋_GB2312" w:cs="Times New Roman"/>
          <w:sz w:val="32"/>
          <w:szCs w:val="32"/>
        </w:rPr>
        <w:t>019</w:t>
      </w:r>
      <w:r>
        <w:rPr>
          <w:rFonts w:hint="eastAsia" w:ascii="Times New Roman" w:hAnsi="Times New Roman" w:eastAsia="仿宋_GB2312" w:cs="Times New Roman"/>
          <w:sz w:val="32"/>
          <w:szCs w:val="32"/>
        </w:rPr>
        <w:t>年九峰辖区内铁路段无任何重特大安全事故和违法犯罪活动发生。</w:t>
      </w:r>
    </w:p>
    <w:p w14:paraId="67B4117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0A05B06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）市长专线投诉按时办结率（</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5A99C446">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九峰街道办事处2</w:t>
      </w:r>
      <w:r>
        <w:rPr>
          <w:rFonts w:ascii="Times New Roman" w:hAnsi="Times New Roman" w:eastAsia="仿宋_GB2312" w:cs="Times New Roman"/>
          <w:sz w:val="32"/>
          <w:szCs w:val="32"/>
        </w:rPr>
        <w:t>019</w:t>
      </w:r>
      <w:r>
        <w:rPr>
          <w:rFonts w:hint="eastAsia" w:ascii="Times New Roman" w:hAnsi="Times New Roman" w:eastAsia="仿宋_GB2312" w:cs="Times New Roman"/>
          <w:sz w:val="32"/>
          <w:szCs w:val="32"/>
        </w:rPr>
        <w:t>年共受理市长专线督办件772件、重复办理件156件，主任专线34件，总计办结962件，超期件2件，按期完成办结率99.79 %。</w:t>
      </w:r>
    </w:p>
    <w:p w14:paraId="4D54C1C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根据评分标准，扣2分，得4分。</w:t>
      </w:r>
    </w:p>
    <w:p w14:paraId="174C2FF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）城市留言板投诉按时办结率（</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43DF7E8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九峰街道办事处2</w:t>
      </w:r>
      <w:r>
        <w:rPr>
          <w:rFonts w:ascii="Times New Roman" w:hAnsi="Times New Roman" w:eastAsia="仿宋_GB2312" w:cs="Times New Roman"/>
          <w:sz w:val="32"/>
          <w:szCs w:val="32"/>
        </w:rPr>
        <w:t>019</w:t>
      </w:r>
      <w:r>
        <w:rPr>
          <w:rFonts w:hint="eastAsia" w:ascii="Times New Roman" w:hAnsi="Times New Roman" w:eastAsia="仿宋_GB2312" w:cs="Times New Roman"/>
          <w:sz w:val="32"/>
          <w:szCs w:val="32"/>
        </w:rPr>
        <w:t>年共收办城市留言板203件，办结203件,超期3件，按时办结率98.52%。</w:t>
      </w:r>
    </w:p>
    <w:p w14:paraId="519C257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根据评分标准，扣</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分，得</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分。</w:t>
      </w:r>
    </w:p>
    <w:p w14:paraId="7BE9EB1B">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（四）项目效益情况。</w:t>
      </w:r>
    </w:p>
    <w:p w14:paraId="57ED5BB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效果指标满分30分，根据评价原则，效果评价得分为</w:t>
      </w:r>
      <w:r>
        <w:rPr>
          <w:rFonts w:ascii="Times New Roman" w:hAnsi="Times New Roman" w:eastAsia="仿宋_GB2312" w:cs="Times New Roman"/>
          <w:sz w:val="32"/>
          <w:szCs w:val="32"/>
        </w:rPr>
        <w:t>28</w:t>
      </w:r>
      <w:r>
        <w:rPr>
          <w:rFonts w:hint="eastAsia" w:ascii="Times New Roman" w:hAnsi="Times New Roman" w:eastAsia="仿宋_GB2312" w:cs="Times New Roman"/>
          <w:sz w:val="32"/>
          <w:szCs w:val="32"/>
        </w:rPr>
        <w:t>分，评价结果为优。</w:t>
      </w:r>
    </w:p>
    <w:p w14:paraId="47E4BE3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效果方面主要评价项目实施对社会发展所带来的直接或间接影响，项目后续运行及成效发挥的可持续影响情况。对于效果指标的评价，主要采取了查阅资料、现场访谈等方式进行资料收集、整理和分析，对项目效果涉及的指标进行打分，并逐级加权计算结果。</w:t>
      </w:r>
    </w:p>
    <w:p w14:paraId="60D7D49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（1）重点稳控期间不发生进京赴省到市越级访的现象（6分）</w:t>
      </w:r>
    </w:p>
    <w:p w14:paraId="658D60C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在2019年全国、省、市“两会”期间、电视问政期间、“迎大庆保军运”平安稳定工作期间，公安办认真做好九峰街信访维稳工作，制定工作预案、成立维稳工作专班、安排专人值班，有效地维护九峰街道的社会和谐稳定，未发生进京赴省到市越级访的现象。</w:t>
      </w:r>
    </w:p>
    <w:p w14:paraId="1DB0A06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分。</w:t>
      </w:r>
    </w:p>
    <w:p w14:paraId="53038CD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（2）加强综治工作，维护辖区治安秩序，保障社会稳定（6分）</w:t>
      </w:r>
    </w:p>
    <w:p w14:paraId="007BE6C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公共安全办公室在东湖高新区政法综治办的具体指导下，在街道党工委、办事处的正确领导下，以创建“平安九峰”为主题，以人民群众满意为标准，以“打防结合，预防为主，多种手段，协同作战”为工作方针，紧紧围绕街道中心工作，狠抓街道的社会稳定和社会管理综合治理工作，有效地保障了全街社会、政治、经济、文化的协调和发展，有力地加强了社会管理防控体系的建设。</w:t>
      </w:r>
    </w:p>
    <w:p w14:paraId="1182E76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分。</w:t>
      </w:r>
    </w:p>
    <w:p w14:paraId="4A3F8BE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（3）加大安全生产宣传，提高民众安全生产意识，预防和减少辖区事故发生。（6分）</w:t>
      </w:r>
    </w:p>
    <w:p w14:paraId="6C01D59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九峰街道办事处2</w:t>
      </w:r>
      <w:r>
        <w:rPr>
          <w:rFonts w:ascii="Times New Roman" w:hAnsi="Times New Roman" w:eastAsia="仿宋_GB2312" w:cs="Times New Roman"/>
          <w:sz w:val="32"/>
          <w:szCs w:val="32"/>
        </w:rPr>
        <w:t>019</w:t>
      </w:r>
      <w:r>
        <w:rPr>
          <w:rFonts w:hint="eastAsia" w:ascii="Times New Roman" w:hAnsi="Times New Roman" w:eastAsia="仿宋_GB2312" w:cs="Times New Roman"/>
          <w:sz w:val="32"/>
          <w:szCs w:val="32"/>
        </w:rPr>
        <w:t>年共组织13次消防演练，24次消防安全知识培训，5次安全宣传教育。利用微信公众号、微信群、QQ群等多种途径将安全生产相关工作向社会公开，让未亲身参与安全宣传活动中的居民感受九峰街安全生产的重视，提高社区居民对安全的认识，加强社区居民对安全生产的重视</w:t>
      </w:r>
    </w:p>
    <w:p w14:paraId="1ABD744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分。</w:t>
      </w:r>
    </w:p>
    <w:p w14:paraId="02E69DF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（4）安监局满意度（6分）</w:t>
      </w:r>
    </w:p>
    <w:p w14:paraId="5CE9176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019</w:t>
      </w:r>
      <w:r>
        <w:rPr>
          <w:rFonts w:hint="eastAsia" w:ascii="Times New Roman" w:hAnsi="Times New Roman" w:eastAsia="仿宋_GB2312" w:cs="Times New Roman"/>
          <w:sz w:val="32"/>
          <w:szCs w:val="32"/>
        </w:rPr>
        <w:t>年安监局考核结果为优秀。</w:t>
      </w:r>
    </w:p>
    <w:p w14:paraId="32DC0EA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分。</w:t>
      </w:r>
    </w:p>
    <w:p w14:paraId="6E828B4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（5）群众满意度（一感一度一率一评价）（6分）</w:t>
      </w:r>
    </w:p>
    <w:p w14:paraId="4BA0AEA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九峰街道办事处2</w:t>
      </w:r>
      <w:r>
        <w:rPr>
          <w:rFonts w:ascii="Times New Roman" w:hAnsi="Times New Roman" w:eastAsia="仿宋_GB2312" w:cs="Times New Roman"/>
          <w:sz w:val="32"/>
          <w:szCs w:val="32"/>
        </w:rPr>
        <w:t>019</w:t>
      </w:r>
      <w:r>
        <w:rPr>
          <w:rFonts w:hint="eastAsia" w:ascii="Times New Roman" w:hAnsi="Times New Roman" w:eastAsia="仿宋_GB2312" w:cs="Times New Roman"/>
          <w:sz w:val="32"/>
          <w:szCs w:val="32"/>
        </w:rPr>
        <w:t>年“一感一度一率一评价”测评情况（全市172个街道）：上半年①群众安全感：81.0%，位列152（全市172个街道）；②公正执法满意度：84.38%，位列168；③矛盾纠纷处理有效率：93.97%，位列103；④扫黑除恶成效评价：79.7%，位列170；下半年①群众安全感：</w:t>
      </w:r>
      <w:r>
        <w:rPr>
          <w:rFonts w:ascii="Times New Roman" w:hAnsi="Times New Roman" w:eastAsia="仿宋_GB2312" w:cs="Times New Roman"/>
          <w:sz w:val="32"/>
          <w:szCs w:val="32"/>
        </w:rPr>
        <w:t>91.75</w:t>
      </w:r>
      <w:r>
        <w:rPr>
          <w:rFonts w:hint="eastAsia" w:ascii="Times New Roman" w:hAnsi="Times New Roman" w:eastAsia="仿宋_GB2312" w:cs="Times New Roman"/>
          <w:sz w:val="32"/>
          <w:szCs w:val="32"/>
        </w:rPr>
        <w:t>%，位列</w:t>
      </w:r>
      <w:r>
        <w:rPr>
          <w:rFonts w:ascii="Times New Roman" w:hAnsi="Times New Roman" w:eastAsia="仿宋_GB2312" w:cs="Times New Roman"/>
          <w:sz w:val="32"/>
          <w:szCs w:val="32"/>
        </w:rPr>
        <w:t>86</w:t>
      </w:r>
      <w:r>
        <w:rPr>
          <w:rFonts w:hint="eastAsia" w:ascii="Times New Roman" w:hAnsi="Times New Roman" w:eastAsia="仿宋_GB2312" w:cs="Times New Roman"/>
          <w:sz w:val="32"/>
          <w:szCs w:val="32"/>
        </w:rPr>
        <w:t>；②公正执法满意度：</w:t>
      </w:r>
      <w:r>
        <w:rPr>
          <w:rFonts w:ascii="Times New Roman" w:hAnsi="Times New Roman" w:eastAsia="仿宋_GB2312" w:cs="Times New Roman"/>
          <w:sz w:val="32"/>
          <w:szCs w:val="32"/>
        </w:rPr>
        <w:t>96.63</w:t>
      </w:r>
      <w:r>
        <w:rPr>
          <w:rFonts w:hint="eastAsia" w:ascii="Times New Roman" w:hAnsi="Times New Roman" w:eastAsia="仿宋_GB2312" w:cs="Times New Roman"/>
          <w:sz w:val="32"/>
          <w:szCs w:val="32"/>
        </w:rPr>
        <w:t>%，位列</w:t>
      </w:r>
      <w:r>
        <w:rPr>
          <w:rFonts w:ascii="Times New Roman" w:hAnsi="Times New Roman" w:eastAsia="仿宋_GB2312" w:cs="Times New Roman"/>
          <w:sz w:val="32"/>
          <w:szCs w:val="32"/>
        </w:rPr>
        <w:t>24</w:t>
      </w:r>
      <w:r>
        <w:rPr>
          <w:rFonts w:hint="eastAsia" w:ascii="Times New Roman" w:hAnsi="Times New Roman" w:eastAsia="仿宋_GB2312" w:cs="Times New Roman"/>
          <w:sz w:val="32"/>
          <w:szCs w:val="32"/>
        </w:rPr>
        <w:t>；③矛盾纠纷处理有效率：</w:t>
      </w:r>
      <w:r>
        <w:rPr>
          <w:rFonts w:ascii="Times New Roman" w:hAnsi="Times New Roman" w:eastAsia="仿宋_GB2312" w:cs="Times New Roman"/>
          <w:sz w:val="32"/>
          <w:szCs w:val="32"/>
        </w:rPr>
        <w:t>96.92</w:t>
      </w:r>
      <w:r>
        <w:rPr>
          <w:rFonts w:hint="eastAsia" w:ascii="Times New Roman" w:hAnsi="Times New Roman" w:eastAsia="仿宋_GB2312" w:cs="Times New Roman"/>
          <w:sz w:val="32"/>
          <w:szCs w:val="32"/>
        </w:rPr>
        <w:t>%，位列</w:t>
      </w:r>
      <w:r>
        <w:rPr>
          <w:rFonts w:ascii="Times New Roman" w:hAnsi="Times New Roman" w:eastAsia="仿宋_GB2312" w:cs="Times New Roman"/>
          <w:sz w:val="32"/>
          <w:szCs w:val="32"/>
        </w:rPr>
        <w:t>39</w:t>
      </w:r>
      <w:r>
        <w:rPr>
          <w:rFonts w:hint="eastAsia" w:ascii="Times New Roman" w:hAnsi="Times New Roman" w:eastAsia="仿宋_GB2312" w:cs="Times New Roman"/>
          <w:sz w:val="32"/>
          <w:szCs w:val="32"/>
        </w:rPr>
        <w:t>；④扫黑除恶成效评价：</w:t>
      </w:r>
      <w:r>
        <w:rPr>
          <w:rFonts w:ascii="Times New Roman" w:hAnsi="Times New Roman" w:eastAsia="仿宋_GB2312" w:cs="Times New Roman"/>
          <w:sz w:val="32"/>
          <w:szCs w:val="32"/>
        </w:rPr>
        <w:t>97.92</w:t>
      </w:r>
      <w:r>
        <w:rPr>
          <w:rFonts w:hint="eastAsia" w:ascii="Times New Roman" w:hAnsi="Times New Roman" w:eastAsia="仿宋_GB2312" w:cs="Times New Roman"/>
          <w:sz w:val="32"/>
          <w:szCs w:val="32"/>
        </w:rPr>
        <w:t>%，位列</w:t>
      </w:r>
      <w:r>
        <w:rPr>
          <w:rFonts w:ascii="Times New Roman" w:hAnsi="Times New Roman" w:eastAsia="仿宋_GB2312" w:cs="Times New Roman"/>
          <w:sz w:val="32"/>
          <w:szCs w:val="32"/>
        </w:rPr>
        <w:t>12</w:t>
      </w:r>
      <w:r>
        <w:rPr>
          <w:rFonts w:hint="eastAsia" w:ascii="Times New Roman" w:hAnsi="Times New Roman" w:eastAsia="仿宋_GB2312" w:cs="Times New Roman"/>
          <w:sz w:val="32"/>
          <w:szCs w:val="32"/>
        </w:rPr>
        <w:t>。全年综合平均排名9</w:t>
      </w:r>
      <w:r>
        <w:rPr>
          <w:rFonts w:ascii="Times New Roman" w:hAnsi="Times New Roman" w:eastAsia="仿宋_GB2312" w:cs="Times New Roman"/>
          <w:sz w:val="32"/>
          <w:szCs w:val="32"/>
        </w:rPr>
        <w:t>4.25</w:t>
      </w:r>
      <w:r>
        <w:rPr>
          <w:rFonts w:hint="eastAsia" w:ascii="Times New Roman" w:hAnsi="Times New Roman" w:eastAsia="仿宋_GB2312" w:cs="Times New Roman"/>
          <w:sz w:val="32"/>
          <w:szCs w:val="32"/>
        </w:rPr>
        <w:t>。</w:t>
      </w:r>
    </w:p>
    <w:p w14:paraId="1ED6E4A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根据评分标准，扣2分，得</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33935AD4">
      <w:pPr>
        <w:spacing w:line="600" w:lineRule="exact"/>
        <w:ind w:firstLine="640" w:firstLineChars="200"/>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五、主要经验及做法、存在的问题及原因分析</w:t>
      </w:r>
    </w:p>
    <w:p w14:paraId="3F9E0865">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（一）主要经验及做法</w:t>
      </w:r>
    </w:p>
    <w:p w14:paraId="2FF2A6A3">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1</w:t>
      </w:r>
      <w:r>
        <w:rPr>
          <w:rFonts w:hint="eastAsia" w:ascii="仿宋" w:hAnsi="仿宋" w:eastAsia="仿宋" w:cs="Times New Roman"/>
          <w:sz w:val="32"/>
          <w:szCs w:val="32"/>
        </w:rPr>
        <w:t>、通过网上投诉系统、阳光信访系统、大接访活动、群众来访、积案化解工作、稳控工作等做好信访维稳工作。</w:t>
      </w:r>
    </w:p>
    <w:p w14:paraId="74B0DB14">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2</w:t>
      </w:r>
      <w:r>
        <w:rPr>
          <w:rFonts w:hint="eastAsia" w:ascii="仿宋" w:hAnsi="仿宋" w:eastAsia="仿宋" w:cs="Times New Roman"/>
          <w:sz w:val="32"/>
          <w:szCs w:val="32"/>
        </w:rPr>
        <w:t>、综治工作：年初认真梳理街道综治工作现状，编写《九峰街道2019年综合治理工作要点》下发至各社区、村改制公司和辖区相关单位，整合街道综治力量、理顺工作机制、明确责任分工。做好普法宣传工作、平安创建工作、扫黑除恶专项斗争、打击传销工作、综治中心建设、“迎大庆、保军运”平安稳定工作、狗患整治工作、社区矫正人员管理工作、铁路护路工作、社会管理网格化工作。</w:t>
      </w:r>
    </w:p>
    <w:p w14:paraId="5A1D8092">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3、安全生产工作：强化责任，制定目标；突出重点，加强宣传；加大安全检查监管力度。</w:t>
      </w:r>
    </w:p>
    <w:p w14:paraId="1F9B80C9">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（二）存在的问题及原因分析</w:t>
      </w:r>
    </w:p>
    <w:p w14:paraId="20E15562">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经过公共安全办公室全体成员的共同努力，各项常规工作进展顺利，重点工作有所突破，无重大事故发生。但工作中，仍存在一些问题。一是办公室内部工作体制机制未完全理顺；二是部分检查不够彻底，隐患整改有些不到位；三是没有充分形成部门联动、齐抓共管的机制。</w:t>
      </w:r>
    </w:p>
    <w:p w14:paraId="37105461">
      <w:pPr>
        <w:spacing w:line="600" w:lineRule="exact"/>
        <w:ind w:firstLine="640" w:firstLineChars="200"/>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六、有关建议</w:t>
      </w:r>
    </w:p>
    <w:p w14:paraId="4EEAA102">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1、理顺体制机制，创新综治工作体系。针对街道综治工作繁重、人员不足的问题，公共安全办公室必须首先理顺内部工作机制、明确责任分工，建立“各有重点、协调配合”的工作模式。针对群众反映问题偶有回复不及时，网上投诉件时有延期的问题，须严格按照属地责任和职能责任明确二级平台、各社区和改制公司的职责范围，制定考核机制。</w:t>
      </w:r>
    </w:p>
    <w:p w14:paraId="1A2FAEE2">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加大宣传教育力度，营造良好的社会综治环境。紧紧围绕建设“平安九峰”的目标，加大宣传力度，动员广大群众积极参与综治工作。运用宣传栏、发放宣传册等多种形式，加大对各村（社区）的法治宣传，增强群众的防范意识和法治意识。</w:t>
      </w:r>
    </w:p>
    <w:p w14:paraId="2BF79EA3">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3、加大检查力度，及时整改存在的安全隐患。通过常规性检查，及时排除重大安全隐患。针对综合治理、信访维稳、安全生产、食品安全等方面存在的问题，要及时提出整改措施和意见，落实整改责任人，确定整改时间，防止事态严重化和扩大化。</w:t>
      </w:r>
    </w:p>
    <w:p w14:paraId="0881CD28">
      <w:pPr>
        <w:spacing w:line="600" w:lineRule="exact"/>
        <w:ind w:firstLine="640" w:firstLineChars="200"/>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七、其他需要说明的问题</w:t>
      </w:r>
    </w:p>
    <w:p w14:paraId="610A7D49">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无。</w:t>
      </w:r>
    </w:p>
    <w:p w14:paraId="76A828AE">
      <w:pPr>
        <w:spacing w:line="360" w:lineRule="auto"/>
        <w:ind w:firstLine="640" w:firstLineChars="200"/>
        <w:rPr>
          <w:rFonts w:ascii="仿宋" w:hAnsi="仿宋" w:eastAsia="仿宋" w:cs="Times New Roman"/>
          <w:sz w:val="32"/>
          <w:szCs w:val="32"/>
        </w:rPr>
      </w:pPr>
    </w:p>
    <w:p w14:paraId="2C2DA169">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附件：安全生产及维稳经费项目绩效评价指标体系及评分表</w:t>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p>
    <w:p w14:paraId="50E541CD">
      <w:pPr>
        <w:spacing w:line="360" w:lineRule="auto"/>
        <w:ind w:firstLine="640" w:firstLineChars="200"/>
        <w:jc w:val="right"/>
        <w:rPr>
          <w:rFonts w:ascii="仿宋" w:hAnsi="仿宋" w:eastAsia="仿宋" w:cs="Times New Roman"/>
          <w:sz w:val="32"/>
          <w:szCs w:val="32"/>
        </w:rPr>
      </w:pPr>
      <w:r>
        <w:rPr>
          <w:rFonts w:hint="eastAsia" w:ascii="仿宋" w:hAnsi="仿宋" w:eastAsia="仿宋" w:cs="Times New Roman"/>
          <w:sz w:val="32"/>
          <w:szCs w:val="32"/>
        </w:rPr>
        <w:t>2</w:t>
      </w:r>
      <w:r>
        <w:rPr>
          <w:rFonts w:ascii="仿宋" w:hAnsi="仿宋" w:eastAsia="仿宋" w:cs="Times New Roman"/>
          <w:sz w:val="32"/>
          <w:szCs w:val="32"/>
        </w:rPr>
        <w:t>020</w:t>
      </w:r>
      <w:r>
        <w:rPr>
          <w:rFonts w:hint="eastAsia" w:ascii="仿宋" w:hAnsi="仿宋" w:eastAsia="仿宋" w:cs="Times New Roman"/>
          <w:sz w:val="32"/>
          <w:szCs w:val="32"/>
        </w:rPr>
        <w:t>年7月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4M2EyNTA2M2ZiYjc4M2Q3MTM4NWM4NzBhMDQyNzgifQ=="/>
  </w:docVars>
  <w:rsids>
    <w:rsidRoot w:val="0FA76834"/>
    <w:rsid w:val="000012F9"/>
    <w:rsid w:val="00006905"/>
    <w:rsid w:val="00010EF0"/>
    <w:rsid w:val="00015FD6"/>
    <w:rsid w:val="00016E8F"/>
    <w:rsid w:val="00024034"/>
    <w:rsid w:val="00026111"/>
    <w:rsid w:val="00026CEA"/>
    <w:rsid w:val="000271A3"/>
    <w:rsid w:val="00030F41"/>
    <w:rsid w:val="0003256A"/>
    <w:rsid w:val="000355AF"/>
    <w:rsid w:val="00035F8C"/>
    <w:rsid w:val="00036D53"/>
    <w:rsid w:val="000561C3"/>
    <w:rsid w:val="000574E6"/>
    <w:rsid w:val="00064D04"/>
    <w:rsid w:val="0006721F"/>
    <w:rsid w:val="00070A0F"/>
    <w:rsid w:val="0007648B"/>
    <w:rsid w:val="00080B4D"/>
    <w:rsid w:val="000A2609"/>
    <w:rsid w:val="000A356C"/>
    <w:rsid w:val="000A546B"/>
    <w:rsid w:val="000A79C3"/>
    <w:rsid w:val="000A7DF3"/>
    <w:rsid w:val="000B0271"/>
    <w:rsid w:val="000C07DC"/>
    <w:rsid w:val="000C17EA"/>
    <w:rsid w:val="000C1E34"/>
    <w:rsid w:val="000C1E95"/>
    <w:rsid w:val="000C3DD1"/>
    <w:rsid w:val="000C5633"/>
    <w:rsid w:val="000C585B"/>
    <w:rsid w:val="000C6A9F"/>
    <w:rsid w:val="000D45AC"/>
    <w:rsid w:val="000D6485"/>
    <w:rsid w:val="000E0735"/>
    <w:rsid w:val="000E3C8E"/>
    <w:rsid w:val="000E6D10"/>
    <w:rsid w:val="000F0ED0"/>
    <w:rsid w:val="000F1983"/>
    <w:rsid w:val="0010260C"/>
    <w:rsid w:val="00105392"/>
    <w:rsid w:val="00105648"/>
    <w:rsid w:val="00107404"/>
    <w:rsid w:val="0010799A"/>
    <w:rsid w:val="00107BE6"/>
    <w:rsid w:val="0011091F"/>
    <w:rsid w:val="00112E9B"/>
    <w:rsid w:val="00113C21"/>
    <w:rsid w:val="00131203"/>
    <w:rsid w:val="00132CC6"/>
    <w:rsid w:val="00134E5C"/>
    <w:rsid w:val="00135567"/>
    <w:rsid w:val="00142D54"/>
    <w:rsid w:val="001444A7"/>
    <w:rsid w:val="00150574"/>
    <w:rsid w:val="00151AEB"/>
    <w:rsid w:val="0015247B"/>
    <w:rsid w:val="0015280E"/>
    <w:rsid w:val="00152D97"/>
    <w:rsid w:val="001531EE"/>
    <w:rsid w:val="001564CB"/>
    <w:rsid w:val="00157879"/>
    <w:rsid w:val="00163432"/>
    <w:rsid w:val="00165605"/>
    <w:rsid w:val="001721E4"/>
    <w:rsid w:val="0017224A"/>
    <w:rsid w:val="001808A5"/>
    <w:rsid w:val="001A169E"/>
    <w:rsid w:val="001A3BFC"/>
    <w:rsid w:val="001A5D45"/>
    <w:rsid w:val="001A7EE1"/>
    <w:rsid w:val="001B2DB8"/>
    <w:rsid w:val="001B55C9"/>
    <w:rsid w:val="001B77BD"/>
    <w:rsid w:val="001C1BE7"/>
    <w:rsid w:val="001D5C54"/>
    <w:rsid w:val="001E2251"/>
    <w:rsid w:val="001F0C5D"/>
    <w:rsid w:val="001F2F3C"/>
    <w:rsid w:val="00205C8F"/>
    <w:rsid w:val="0023345A"/>
    <w:rsid w:val="002517DA"/>
    <w:rsid w:val="00253027"/>
    <w:rsid w:val="002573C1"/>
    <w:rsid w:val="00257A21"/>
    <w:rsid w:val="00257E58"/>
    <w:rsid w:val="00257FE9"/>
    <w:rsid w:val="00262EA8"/>
    <w:rsid w:val="002636AD"/>
    <w:rsid w:val="002671FB"/>
    <w:rsid w:val="002717BF"/>
    <w:rsid w:val="00272058"/>
    <w:rsid w:val="002737E4"/>
    <w:rsid w:val="00280B64"/>
    <w:rsid w:val="00283204"/>
    <w:rsid w:val="002932E0"/>
    <w:rsid w:val="00293A6C"/>
    <w:rsid w:val="0029596A"/>
    <w:rsid w:val="002A0097"/>
    <w:rsid w:val="002A1156"/>
    <w:rsid w:val="002A2F45"/>
    <w:rsid w:val="002A62EA"/>
    <w:rsid w:val="002B2C07"/>
    <w:rsid w:val="002C40DF"/>
    <w:rsid w:val="002C76D6"/>
    <w:rsid w:val="002D33C5"/>
    <w:rsid w:val="002E1085"/>
    <w:rsid w:val="002E7E56"/>
    <w:rsid w:val="002F6F8D"/>
    <w:rsid w:val="00305312"/>
    <w:rsid w:val="003061AE"/>
    <w:rsid w:val="00311098"/>
    <w:rsid w:val="00331AD2"/>
    <w:rsid w:val="0033582D"/>
    <w:rsid w:val="00340DBD"/>
    <w:rsid w:val="003449AE"/>
    <w:rsid w:val="00344D41"/>
    <w:rsid w:val="0035523C"/>
    <w:rsid w:val="0035691A"/>
    <w:rsid w:val="0036426B"/>
    <w:rsid w:val="00367E61"/>
    <w:rsid w:val="003703CD"/>
    <w:rsid w:val="00371E75"/>
    <w:rsid w:val="00376A1D"/>
    <w:rsid w:val="003772E9"/>
    <w:rsid w:val="00377590"/>
    <w:rsid w:val="00382232"/>
    <w:rsid w:val="00384022"/>
    <w:rsid w:val="00387951"/>
    <w:rsid w:val="003953B1"/>
    <w:rsid w:val="003A1E28"/>
    <w:rsid w:val="003A3E76"/>
    <w:rsid w:val="003B25A0"/>
    <w:rsid w:val="003C101F"/>
    <w:rsid w:val="003C110D"/>
    <w:rsid w:val="003C2DE5"/>
    <w:rsid w:val="003D7116"/>
    <w:rsid w:val="003E1C22"/>
    <w:rsid w:val="003E7AFF"/>
    <w:rsid w:val="003E7E71"/>
    <w:rsid w:val="003F1BD8"/>
    <w:rsid w:val="003F5173"/>
    <w:rsid w:val="0040076C"/>
    <w:rsid w:val="00401088"/>
    <w:rsid w:val="00404D89"/>
    <w:rsid w:val="00405549"/>
    <w:rsid w:val="00407F1B"/>
    <w:rsid w:val="0041392F"/>
    <w:rsid w:val="00414002"/>
    <w:rsid w:val="00416935"/>
    <w:rsid w:val="004224F1"/>
    <w:rsid w:val="00422A03"/>
    <w:rsid w:val="0042542A"/>
    <w:rsid w:val="00431A53"/>
    <w:rsid w:val="004324ED"/>
    <w:rsid w:val="00434AF8"/>
    <w:rsid w:val="00456B4A"/>
    <w:rsid w:val="004579EA"/>
    <w:rsid w:val="00461E67"/>
    <w:rsid w:val="004718F7"/>
    <w:rsid w:val="0047539C"/>
    <w:rsid w:val="0048283D"/>
    <w:rsid w:val="00482B73"/>
    <w:rsid w:val="00483E4C"/>
    <w:rsid w:val="00484494"/>
    <w:rsid w:val="00486C49"/>
    <w:rsid w:val="00491C45"/>
    <w:rsid w:val="00496DF7"/>
    <w:rsid w:val="004A48BB"/>
    <w:rsid w:val="004B0172"/>
    <w:rsid w:val="004B02CE"/>
    <w:rsid w:val="004B177C"/>
    <w:rsid w:val="004B18B1"/>
    <w:rsid w:val="004C662D"/>
    <w:rsid w:val="004C72B7"/>
    <w:rsid w:val="004D4A4B"/>
    <w:rsid w:val="004F08C7"/>
    <w:rsid w:val="004F45C8"/>
    <w:rsid w:val="004F6C59"/>
    <w:rsid w:val="00501EF5"/>
    <w:rsid w:val="00502702"/>
    <w:rsid w:val="0050548F"/>
    <w:rsid w:val="00507BC9"/>
    <w:rsid w:val="005272C1"/>
    <w:rsid w:val="00533C86"/>
    <w:rsid w:val="00536527"/>
    <w:rsid w:val="00547EA8"/>
    <w:rsid w:val="00551F77"/>
    <w:rsid w:val="00552FCC"/>
    <w:rsid w:val="00555DE2"/>
    <w:rsid w:val="0056048F"/>
    <w:rsid w:val="00563CF6"/>
    <w:rsid w:val="00566BA4"/>
    <w:rsid w:val="005815F1"/>
    <w:rsid w:val="00583BB2"/>
    <w:rsid w:val="00585BD9"/>
    <w:rsid w:val="00594D7E"/>
    <w:rsid w:val="005A247F"/>
    <w:rsid w:val="005B1D5A"/>
    <w:rsid w:val="005B2CDF"/>
    <w:rsid w:val="005B50C3"/>
    <w:rsid w:val="005B6286"/>
    <w:rsid w:val="005C32EA"/>
    <w:rsid w:val="005D1ED0"/>
    <w:rsid w:val="005D36A6"/>
    <w:rsid w:val="005D7F08"/>
    <w:rsid w:val="005E1306"/>
    <w:rsid w:val="005E2A46"/>
    <w:rsid w:val="005E50C4"/>
    <w:rsid w:val="005F0031"/>
    <w:rsid w:val="005F273B"/>
    <w:rsid w:val="005F4055"/>
    <w:rsid w:val="005F434C"/>
    <w:rsid w:val="005F6A92"/>
    <w:rsid w:val="005F7B4E"/>
    <w:rsid w:val="00602BF3"/>
    <w:rsid w:val="006052D7"/>
    <w:rsid w:val="00610BF7"/>
    <w:rsid w:val="0061333F"/>
    <w:rsid w:val="00616C51"/>
    <w:rsid w:val="0062010E"/>
    <w:rsid w:val="006245E0"/>
    <w:rsid w:val="006311D5"/>
    <w:rsid w:val="00631E47"/>
    <w:rsid w:val="0064048F"/>
    <w:rsid w:val="006540F1"/>
    <w:rsid w:val="00655968"/>
    <w:rsid w:val="0066788A"/>
    <w:rsid w:val="00674DA2"/>
    <w:rsid w:val="0067520F"/>
    <w:rsid w:val="0067738F"/>
    <w:rsid w:val="00680947"/>
    <w:rsid w:val="0069037E"/>
    <w:rsid w:val="0069585F"/>
    <w:rsid w:val="006975E9"/>
    <w:rsid w:val="006A708E"/>
    <w:rsid w:val="006A7CB9"/>
    <w:rsid w:val="006B4335"/>
    <w:rsid w:val="006B4BC4"/>
    <w:rsid w:val="006B537C"/>
    <w:rsid w:val="006B7638"/>
    <w:rsid w:val="006C1E16"/>
    <w:rsid w:val="006C3163"/>
    <w:rsid w:val="006C4442"/>
    <w:rsid w:val="006C5AE4"/>
    <w:rsid w:val="006D6886"/>
    <w:rsid w:val="006D731F"/>
    <w:rsid w:val="006E09E3"/>
    <w:rsid w:val="006E52A7"/>
    <w:rsid w:val="006E7671"/>
    <w:rsid w:val="006F3818"/>
    <w:rsid w:val="006F508B"/>
    <w:rsid w:val="006F6B0D"/>
    <w:rsid w:val="00704064"/>
    <w:rsid w:val="0071102C"/>
    <w:rsid w:val="00712878"/>
    <w:rsid w:val="0071310E"/>
    <w:rsid w:val="00736657"/>
    <w:rsid w:val="00741268"/>
    <w:rsid w:val="00741C56"/>
    <w:rsid w:val="0074286E"/>
    <w:rsid w:val="00742DE4"/>
    <w:rsid w:val="00744BCD"/>
    <w:rsid w:val="00751CE3"/>
    <w:rsid w:val="00752D26"/>
    <w:rsid w:val="007531C8"/>
    <w:rsid w:val="00753C9D"/>
    <w:rsid w:val="00757F45"/>
    <w:rsid w:val="00757F91"/>
    <w:rsid w:val="00761EFF"/>
    <w:rsid w:val="00764ED3"/>
    <w:rsid w:val="00770DC2"/>
    <w:rsid w:val="00773226"/>
    <w:rsid w:val="0077592C"/>
    <w:rsid w:val="00777008"/>
    <w:rsid w:val="007821E0"/>
    <w:rsid w:val="00782ADC"/>
    <w:rsid w:val="00785F5F"/>
    <w:rsid w:val="007956DF"/>
    <w:rsid w:val="0079640C"/>
    <w:rsid w:val="007A4D4D"/>
    <w:rsid w:val="007B289D"/>
    <w:rsid w:val="007B3807"/>
    <w:rsid w:val="007B6DC3"/>
    <w:rsid w:val="007C02CC"/>
    <w:rsid w:val="007C0459"/>
    <w:rsid w:val="007C3DC9"/>
    <w:rsid w:val="007C75A2"/>
    <w:rsid w:val="007E1D5F"/>
    <w:rsid w:val="007E6F09"/>
    <w:rsid w:val="007E7388"/>
    <w:rsid w:val="007F331B"/>
    <w:rsid w:val="007F7AC6"/>
    <w:rsid w:val="008028BC"/>
    <w:rsid w:val="00804284"/>
    <w:rsid w:val="00805C10"/>
    <w:rsid w:val="00810F39"/>
    <w:rsid w:val="00813403"/>
    <w:rsid w:val="00814FFD"/>
    <w:rsid w:val="00820FCB"/>
    <w:rsid w:val="00831669"/>
    <w:rsid w:val="00834137"/>
    <w:rsid w:val="00840917"/>
    <w:rsid w:val="00843D56"/>
    <w:rsid w:val="00845B9C"/>
    <w:rsid w:val="00850C47"/>
    <w:rsid w:val="008523FF"/>
    <w:rsid w:val="0085355D"/>
    <w:rsid w:val="00856FC4"/>
    <w:rsid w:val="0085774B"/>
    <w:rsid w:val="00863EC8"/>
    <w:rsid w:val="00871C2B"/>
    <w:rsid w:val="00877B6E"/>
    <w:rsid w:val="00877ECC"/>
    <w:rsid w:val="0088338B"/>
    <w:rsid w:val="00891379"/>
    <w:rsid w:val="00893925"/>
    <w:rsid w:val="00897018"/>
    <w:rsid w:val="008A436C"/>
    <w:rsid w:val="008B0258"/>
    <w:rsid w:val="008B1AB4"/>
    <w:rsid w:val="008B2B8F"/>
    <w:rsid w:val="008C278B"/>
    <w:rsid w:val="008C5043"/>
    <w:rsid w:val="008C5F3B"/>
    <w:rsid w:val="008D1256"/>
    <w:rsid w:val="008D224E"/>
    <w:rsid w:val="008D270F"/>
    <w:rsid w:val="008D2A5C"/>
    <w:rsid w:val="008D49A4"/>
    <w:rsid w:val="008D5BE7"/>
    <w:rsid w:val="008D5F3B"/>
    <w:rsid w:val="008F140A"/>
    <w:rsid w:val="009010F9"/>
    <w:rsid w:val="00901A8B"/>
    <w:rsid w:val="0090289F"/>
    <w:rsid w:val="009057D8"/>
    <w:rsid w:val="0090670A"/>
    <w:rsid w:val="00906A39"/>
    <w:rsid w:val="00915B3B"/>
    <w:rsid w:val="00921D7F"/>
    <w:rsid w:val="009231FF"/>
    <w:rsid w:val="00936666"/>
    <w:rsid w:val="00936C25"/>
    <w:rsid w:val="00943833"/>
    <w:rsid w:val="00945935"/>
    <w:rsid w:val="0095163E"/>
    <w:rsid w:val="00962CE5"/>
    <w:rsid w:val="00985B70"/>
    <w:rsid w:val="00986268"/>
    <w:rsid w:val="00997988"/>
    <w:rsid w:val="009B4949"/>
    <w:rsid w:val="009B5886"/>
    <w:rsid w:val="009C1991"/>
    <w:rsid w:val="009D3C4B"/>
    <w:rsid w:val="009D5C6E"/>
    <w:rsid w:val="009D736B"/>
    <w:rsid w:val="009E2C8C"/>
    <w:rsid w:val="009E36A3"/>
    <w:rsid w:val="009E425C"/>
    <w:rsid w:val="009E530E"/>
    <w:rsid w:val="009F12CF"/>
    <w:rsid w:val="009F2892"/>
    <w:rsid w:val="009F41C9"/>
    <w:rsid w:val="009F42AD"/>
    <w:rsid w:val="009F7B73"/>
    <w:rsid w:val="009F7FA5"/>
    <w:rsid w:val="00A072A8"/>
    <w:rsid w:val="00A21E16"/>
    <w:rsid w:val="00A26FC5"/>
    <w:rsid w:val="00A274F2"/>
    <w:rsid w:val="00A27607"/>
    <w:rsid w:val="00A30343"/>
    <w:rsid w:val="00A308EC"/>
    <w:rsid w:val="00A34479"/>
    <w:rsid w:val="00A3696A"/>
    <w:rsid w:val="00A46F52"/>
    <w:rsid w:val="00A4747C"/>
    <w:rsid w:val="00A54C94"/>
    <w:rsid w:val="00A5512C"/>
    <w:rsid w:val="00A56D7D"/>
    <w:rsid w:val="00A620AD"/>
    <w:rsid w:val="00A65143"/>
    <w:rsid w:val="00A66274"/>
    <w:rsid w:val="00A67EAD"/>
    <w:rsid w:val="00A7467B"/>
    <w:rsid w:val="00A756D8"/>
    <w:rsid w:val="00A76006"/>
    <w:rsid w:val="00A7622C"/>
    <w:rsid w:val="00A909C7"/>
    <w:rsid w:val="00A9117B"/>
    <w:rsid w:val="00AA24A7"/>
    <w:rsid w:val="00AA4518"/>
    <w:rsid w:val="00AA47D6"/>
    <w:rsid w:val="00AC2B63"/>
    <w:rsid w:val="00AC7D2F"/>
    <w:rsid w:val="00AD1DE8"/>
    <w:rsid w:val="00AD6800"/>
    <w:rsid w:val="00AE0176"/>
    <w:rsid w:val="00AE27A1"/>
    <w:rsid w:val="00AE62A1"/>
    <w:rsid w:val="00AF5F74"/>
    <w:rsid w:val="00AF6BDD"/>
    <w:rsid w:val="00AF6D5D"/>
    <w:rsid w:val="00AF73CB"/>
    <w:rsid w:val="00B0075E"/>
    <w:rsid w:val="00B024E3"/>
    <w:rsid w:val="00B07B22"/>
    <w:rsid w:val="00B1152C"/>
    <w:rsid w:val="00B12423"/>
    <w:rsid w:val="00B130D8"/>
    <w:rsid w:val="00B1574F"/>
    <w:rsid w:val="00B1613C"/>
    <w:rsid w:val="00B216D2"/>
    <w:rsid w:val="00B2284C"/>
    <w:rsid w:val="00B26F3E"/>
    <w:rsid w:val="00B26F88"/>
    <w:rsid w:val="00B31BE2"/>
    <w:rsid w:val="00B32DB8"/>
    <w:rsid w:val="00B33EEE"/>
    <w:rsid w:val="00B3448A"/>
    <w:rsid w:val="00B35C30"/>
    <w:rsid w:val="00B433AA"/>
    <w:rsid w:val="00B47ECF"/>
    <w:rsid w:val="00B53A26"/>
    <w:rsid w:val="00B571F8"/>
    <w:rsid w:val="00B621CC"/>
    <w:rsid w:val="00B63B21"/>
    <w:rsid w:val="00B645CA"/>
    <w:rsid w:val="00B71721"/>
    <w:rsid w:val="00B71C14"/>
    <w:rsid w:val="00B7289C"/>
    <w:rsid w:val="00B72C24"/>
    <w:rsid w:val="00B8137B"/>
    <w:rsid w:val="00B8509E"/>
    <w:rsid w:val="00B95343"/>
    <w:rsid w:val="00B97CDE"/>
    <w:rsid w:val="00BA2152"/>
    <w:rsid w:val="00BB14FA"/>
    <w:rsid w:val="00BB2EF1"/>
    <w:rsid w:val="00BB33D9"/>
    <w:rsid w:val="00BB5372"/>
    <w:rsid w:val="00BC4B6F"/>
    <w:rsid w:val="00BC4D88"/>
    <w:rsid w:val="00BC6EFE"/>
    <w:rsid w:val="00BD45DA"/>
    <w:rsid w:val="00BE37BA"/>
    <w:rsid w:val="00BE703B"/>
    <w:rsid w:val="00BE7AD7"/>
    <w:rsid w:val="00BF00BE"/>
    <w:rsid w:val="00BF6C0B"/>
    <w:rsid w:val="00C02695"/>
    <w:rsid w:val="00C02D4E"/>
    <w:rsid w:val="00C224AE"/>
    <w:rsid w:val="00C23D28"/>
    <w:rsid w:val="00C25DB0"/>
    <w:rsid w:val="00C3345F"/>
    <w:rsid w:val="00C33675"/>
    <w:rsid w:val="00C4244B"/>
    <w:rsid w:val="00C53BC6"/>
    <w:rsid w:val="00C55BB3"/>
    <w:rsid w:val="00C65361"/>
    <w:rsid w:val="00C74223"/>
    <w:rsid w:val="00C76323"/>
    <w:rsid w:val="00C832E7"/>
    <w:rsid w:val="00C87A7D"/>
    <w:rsid w:val="00C92366"/>
    <w:rsid w:val="00C956F0"/>
    <w:rsid w:val="00C97C2A"/>
    <w:rsid w:val="00CA06A0"/>
    <w:rsid w:val="00CA0F70"/>
    <w:rsid w:val="00CA72D7"/>
    <w:rsid w:val="00CB208A"/>
    <w:rsid w:val="00CB363E"/>
    <w:rsid w:val="00CB47EF"/>
    <w:rsid w:val="00CC1FCF"/>
    <w:rsid w:val="00CC34BD"/>
    <w:rsid w:val="00CD358F"/>
    <w:rsid w:val="00CD5198"/>
    <w:rsid w:val="00CD79D0"/>
    <w:rsid w:val="00CE1AF1"/>
    <w:rsid w:val="00CE36A4"/>
    <w:rsid w:val="00CE4C61"/>
    <w:rsid w:val="00CF2AC2"/>
    <w:rsid w:val="00CF6052"/>
    <w:rsid w:val="00CF6A2C"/>
    <w:rsid w:val="00D04045"/>
    <w:rsid w:val="00D0432A"/>
    <w:rsid w:val="00D04AC1"/>
    <w:rsid w:val="00D0672E"/>
    <w:rsid w:val="00D131DE"/>
    <w:rsid w:val="00D1402F"/>
    <w:rsid w:val="00D150BC"/>
    <w:rsid w:val="00D17944"/>
    <w:rsid w:val="00D203B3"/>
    <w:rsid w:val="00D3423E"/>
    <w:rsid w:val="00D47703"/>
    <w:rsid w:val="00D56580"/>
    <w:rsid w:val="00D56F70"/>
    <w:rsid w:val="00D65340"/>
    <w:rsid w:val="00D65434"/>
    <w:rsid w:val="00D76DFE"/>
    <w:rsid w:val="00D80D09"/>
    <w:rsid w:val="00DA2B99"/>
    <w:rsid w:val="00DA4270"/>
    <w:rsid w:val="00DA4502"/>
    <w:rsid w:val="00DA5B73"/>
    <w:rsid w:val="00DA7812"/>
    <w:rsid w:val="00DB1D9E"/>
    <w:rsid w:val="00DC2E4F"/>
    <w:rsid w:val="00DC4B0E"/>
    <w:rsid w:val="00DD0EA2"/>
    <w:rsid w:val="00DD5A02"/>
    <w:rsid w:val="00DE5978"/>
    <w:rsid w:val="00E0083E"/>
    <w:rsid w:val="00E027B9"/>
    <w:rsid w:val="00E11167"/>
    <w:rsid w:val="00E13CBA"/>
    <w:rsid w:val="00E2043A"/>
    <w:rsid w:val="00E221E8"/>
    <w:rsid w:val="00E25245"/>
    <w:rsid w:val="00E25D0F"/>
    <w:rsid w:val="00E26A96"/>
    <w:rsid w:val="00E3547E"/>
    <w:rsid w:val="00E41AD5"/>
    <w:rsid w:val="00E42896"/>
    <w:rsid w:val="00E45DF0"/>
    <w:rsid w:val="00E4620D"/>
    <w:rsid w:val="00E4694B"/>
    <w:rsid w:val="00E548D8"/>
    <w:rsid w:val="00E67C30"/>
    <w:rsid w:val="00E7338D"/>
    <w:rsid w:val="00E734BF"/>
    <w:rsid w:val="00E73962"/>
    <w:rsid w:val="00E75FE1"/>
    <w:rsid w:val="00E77856"/>
    <w:rsid w:val="00E81AC1"/>
    <w:rsid w:val="00E863E6"/>
    <w:rsid w:val="00E91FD4"/>
    <w:rsid w:val="00E9487E"/>
    <w:rsid w:val="00E96FF8"/>
    <w:rsid w:val="00E97F12"/>
    <w:rsid w:val="00EA3973"/>
    <w:rsid w:val="00EA71E9"/>
    <w:rsid w:val="00EB520E"/>
    <w:rsid w:val="00EB7AE1"/>
    <w:rsid w:val="00ED054B"/>
    <w:rsid w:val="00ED09B4"/>
    <w:rsid w:val="00ED2639"/>
    <w:rsid w:val="00EE0D29"/>
    <w:rsid w:val="00EE14AD"/>
    <w:rsid w:val="00EE2475"/>
    <w:rsid w:val="00EE4724"/>
    <w:rsid w:val="00EE6C06"/>
    <w:rsid w:val="00EE6CFF"/>
    <w:rsid w:val="00EF3EDD"/>
    <w:rsid w:val="00EF4CD3"/>
    <w:rsid w:val="00F15252"/>
    <w:rsid w:val="00F17EB1"/>
    <w:rsid w:val="00F3388C"/>
    <w:rsid w:val="00F433A2"/>
    <w:rsid w:val="00F457DA"/>
    <w:rsid w:val="00F4581E"/>
    <w:rsid w:val="00F57E16"/>
    <w:rsid w:val="00F60AF8"/>
    <w:rsid w:val="00F635FB"/>
    <w:rsid w:val="00F67AE7"/>
    <w:rsid w:val="00F76F8A"/>
    <w:rsid w:val="00F82EF4"/>
    <w:rsid w:val="00F91A23"/>
    <w:rsid w:val="00F9387D"/>
    <w:rsid w:val="00FC2F6F"/>
    <w:rsid w:val="00FC61CA"/>
    <w:rsid w:val="00FD5EC2"/>
    <w:rsid w:val="00FE1652"/>
    <w:rsid w:val="00FE3229"/>
    <w:rsid w:val="00FE39EC"/>
    <w:rsid w:val="00FE73EC"/>
    <w:rsid w:val="00FF3B7B"/>
    <w:rsid w:val="0FA76834"/>
    <w:rsid w:val="34FE22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after="290" w:line="376" w:lineRule="auto"/>
      <w:outlineLvl w:val="3"/>
    </w:pPr>
    <w:rPr>
      <w:rFonts w:ascii="Arial" w:hAnsi="Arial"/>
      <w:b/>
      <w:bCs/>
      <w:szCs w:val="28"/>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3"/>
    <w:uiPriority w:val="0"/>
    <w:pPr>
      <w:jc w:val="left"/>
    </w:pPr>
  </w:style>
  <w:style w:type="paragraph" w:styleId="4">
    <w:name w:val="Balloon Text"/>
    <w:basedOn w:val="1"/>
    <w:link w:val="15"/>
    <w:uiPriority w:val="0"/>
    <w:rPr>
      <w:sz w:val="18"/>
      <w:szCs w:val="18"/>
    </w:rPr>
  </w:style>
  <w:style w:type="paragraph" w:styleId="5">
    <w:name w:val="footer"/>
    <w:basedOn w:val="1"/>
    <w:link w:val="12"/>
    <w:uiPriority w:val="0"/>
    <w:pPr>
      <w:tabs>
        <w:tab w:val="center" w:pos="4153"/>
        <w:tab w:val="right" w:pos="8306"/>
      </w:tabs>
      <w:snapToGrid w:val="0"/>
      <w:jc w:val="left"/>
    </w:pPr>
    <w:rPr>
      <w:sz w:val="18"/>
      <w:szCs w:val="18"/>
    </w:rPr>
  </w:style>
  <w:style w:type="paragraph" w:styleId="6">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4"/>
    <w:uiPriority w:val="0"/>
    <w:rPr>
      <w:b/>
      <w:bCs/>
    </w:rPr>
  </w:style>
  <w:style w:type="character" w:styleId="10">
    <w:name w:val="annotation reference"/>
    <w:basedOn w:val="9"/>
    <w:uiPriority w:val="0"/>
    <w:rPr>
      <w:sz w:val="21"/>
      <w:szCs w:val="21"/>
    </w:rPr>
  </w:style>
  <w:style w:type="character" w:customStyle="1" w:styleId="11">
    <w:name w:val="页眉 字符"/>
    <w:basedOn w:val="9"/>
    <w:link w:val="6"/>
    <w:uiPriority w:val="0"/>
    <w:rPr>
      <w:rFonts w:asciiTheme="minorHAnsi" w:hAnsiTheme="minorHAnsi" w:eastAsiaTheme="minorEastAsia" w:cstheme="minorBidi"/>
      <w:kern w:val="2"/>
      <w:sz w:val="18"/>
      <w:szCs w:val="18"/>
    </w:rPr>
  </w:style>
  <w:style w:type="character" w:customStyle="1" w:styleId="12">
    <w:name w:val="页脚 字符"/>
    <w:basedOn w:val="9"/>
    <w:link w:val="5"/>
    <w:uiPriority w:val="0"/>
    <w:rPr>
      <w:rFonts w:asciiTheme="minorHAnsi" w:hAnsiTheme="minorHAnsi" w:eastAsiaTheme="minorEastAsia" w:cstheme="minorBidi"/>
      <w:kern w:val="2"/>
      <w:sz w:val="18"/>
      <w:szCs w:val="18"/>
    </w:rPr>
  </w:style>
  <w:style w:type="character" w:customStyle="1" w:styleId="13">
    <w:name w:val="批注文字 字符"/>
    <w:basedOn w:val="9"/>
    <w:link w:val="3"/>
    <w:uiPriority w:val="0"/>
    <w:rPr>
      <w:rFonts w:asciiTheme="minorHAnsi" w:hAnsiTheme="minorHAnsi" w:eastAsiaTheme="minorEastAsia" w:cstheme="minorBidi"/>
      <w:kern w:val="2"/>
      <w:sz w:val="21"/>
      <w:szCs w:val="24"/>
    </w:rPr>
  </w:style>
  <w:style w:type="character" w:customStyle="1" w:styleId="14">
    <w:name w:val="批注主题 字符"/>
    <w:basedOn w:val="13"/>
    <w:link w:val="7"/>
    <w:uiPriority w:val="0"/>
    <w:rPr>
      <w:rFonts w:asciiTheme="minorHAnsi" w:hAnsiTheme="minorHAnsi" w:eastAsiaTheme="minorEastAsia" w:cstheme="minorBidi"/>
      <w:b/>
      <w:bCs/>
      <w:kern w:val="2"/>
      <w:sz w:val="21"/>
      <w:szCs w:val="24"/>
    </w:rPr>
  </w:style>
  <w:style w:type="character" w:customStyle="1" w:styleId="15">
    <w:name w:val="批注框文本 字符"/>
    <w:basedOn w:val="9"/>
    <w:link w:val="4"/>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9645</Words>
  <Characters>10049</Characters>
  <Lines>73</Lines>
  <Paragraphs>20</Paragraphs>
  <TotalTime>627</TotalTime>
  <ScaleCrop>false</ScaleCrop>
  <LinksUpToDate>false</LinksUpToDate>
  <CharactersWithSpaces>10077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2020-05-11T01:11:00Z</dcterms:created>
  <dc:creator>Vapourized</dc:creator>
  <cp:lastModifiedBy>乔娟</cp:lastModifiedBy>
  <dcterms:modified xsi:type="dcterms:W3CDTF">2024-09-19T03:24:20Z</dcterms:modified>
  <cp:revision>603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457F3A7CA9F54C2BA08878A4072C55C6_12</vt:lpwstr>
  </property>
</Properties>
</file>